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D5B" w:rsidRDefault="003B6604">
      <w:pPr>
        <w:spacing w:beforeLines="80" w:before="463" w:line="0" w:lineRule="atLeast"/>
        <w:jc w:val="center"/>
        <w:rPr>
          <w:rFonts w:ascii="华文中宋" w:eastAsia="华文中宋" w:hAnsi="华文中宋"/>
          <w:snapToGrid w:val="0"/>
          <w:color w:val="FF3300"/>
          <w:spacing w:val="20"/>
          <w:kern w:val="0"/>
          <w:sz w:val="100"/>
          <w:szCs w:val="100"/>
        </w:rPr>
      </w:pPr>
      <w:bookmarkStart w:id="0" w:name="文件红头"/>
      <w:r>
        <w:rPr>
          <w:rFonts w:ascii="华文中宋" w:eastAsia="华文中宋" w:hAnsi="华文中宋" w:hint="eastAsia"/>
          <w:snapToGrid w:val="0"/>
          <w:color w:val="FF3300"/>
          <w:spacing w:val="20"/>
          <w:kern w:val="0"/>
          <w:sz w:val="100"/>
          <w:szCs w:val="100"/>
        </w:rPr>
        <w:t xml:space="preserve">南 </w:t>
      </w:r>
      <w:bookmarkStart w:id="1" w:name="_GoBack"/>
      <w:bookmarkEnd w:id="1"/>
      <w:r>
        <w:rPr>
          <w:rFonts w:ascii="华文中宋" w:eastAsia="华文中宋" w:hAnsi="华文中宋" w:hint="eastAsia"/>
          <w:snapToGrid w:val="0"/>
          <w:color w:val="FF3300"/>
          <w:spacing w:val="20"/>
          <w:kern w:val="0"/>
          <w:sz w:val="100"/>
          <w:szCs w:val="100"/>
        </w:rPr>
        <w:t xml:space="preserve"> 京  大  学</w:t>
      </w:r>
    </w:p>
    <w:p w:rsidR="00112D5B" w:rsidRDefault="003B6604">
      <w:pPr>
        <w:tabs>
          <w:tab w:val="left" w:pos="4860"/>
          <w:tab w:val="left" w:pos="5363"/>
        </w:tabs>
        <w:autoSpaceDE w:val="0"/>
        <w:autoSpaceDN w:val="0"/>
        <w:adjustRightInd w:val="0"/>
        <w:spacing w:beforeLines="100" w:before="579"/>
        <w:jc w:val="center"/>
        <w:rPr>
          <w:rFonts w:ascii="仿宋" w:eastAsia="仿宋" w:hAnsi="仿宋"/>
          <w:color w:val="FF3300"/>
        </w:rPr>
      </w:pPr>
      <w:bookmarkStart w:id="2" w:name="文件编号"/>
      <w:bookmarkEnd w:id="0"/>
      <w:r>
        <w:rPr>
          <w:rFonts w:ascii="仿宋" w:eastAsia="仿宋" w:hAnsi="仿宋" w:hint="eastAsia"/>
          <w:color w:val="000000"/>
          <w:kern w:val="0"/>
          <w:szCs w:val="28"/>
        </w:rPr>
        <w:t>南字发〔</w:t>
      </w:r>
      <w:r>
        <w:rPr>
          <w:rFonts w:ascii="仿宋" w:eastAsia="仿宋" w:hAnsi="仿宋"/>
          <w:color w:val="000000"/>
          <w:kern w:val="0"/>
          <w:szCs w:val="28"/>
        </w:rPr>
        <w:t>2019〕177号</w:t>
      </w:r>
      <w:bookmarkEnd w:id="2"/>
    </w:p>
    <w:p w:rsidR="00112D5B" w:rsidRDefault="00201696">
      <w:pPr>
        <w:jc w:val="center"/>
        <w:rPr>
          <w:rFonts w:eastAsia="长城小标宋体"/>
        </w:rPr>
      </w:pPr>
      <w:r>
        <w:rPr>
          <w:rFonts w:eastAsia="长城小标宋体"/>
          <w:sz w:val="20"/>
        </w:rPr>
        <w:pict>
          <v:line id="_x0000_s1037" style="position:absolute;left:0;text-align:left;flip:y;z-index:1;mso-width-relative:page;mso-height-relative:page" from=".9pt,10.9pt" to="414.9pt,10.9pt" strokecolor="red" strokeweight="2.5pt"/>
        </w:pict>
      </w:r>
    </w:p>
    <w:p w:rsidR="00112D5B" w:rsidRDefault="00112D5B">
      <w:pPr>
        <w:autoSpaceDE w:val="0"/>
        <w:autoSpaceDN w:val="0"/>
        <w:adjustRightInd w:val="0"/>
        <w:snapToGrid w:val="0"/>
        <w:spacing w:line="520" w:lineRule="exact"/>
        <w:rPr>
          <w:rFonts w:ascii="华文中宋" w:eastAsia="华文中宋" w:hAnsi="华文中宋" w:cs="宋体"/>
          <w:b/>
          <w:color w:val="000000"/>
          <w:kern w:val="0"/>
          <w:sz w:val="44"/>
          <w:szCs w:val="44"/>
        </w:rPr>
      </w:pPr>
    </w:p>
    <w:p w:rsidR="00112D5B" w:rsidRDefault="003B6604">
      <w:pPr>
        <w:autoSpaceDE w:val="0"/>
        <w:autoSpaceDN w:val="0"/>
        <w:adjustRightInd w:val="0"/>
        <w:snapToGrid w:val="0"/>
        <w:spacing w:line="600" w:lineRule="exact"/>
        <w:jc w:val="center"/>
        <w:rPr>
          <w:rFonts w:ascii="方正小标宋简体" w:eastAsia="方正小标宋简体" w:hAnsi="宋体" w:cs="宋体"/>
          <w:color w:val="000000"/>
          <w:kern w:val="0"/>
          <w:sz w:val="44"/>
          <w:szCs w:val="44"/>
        </w:rPr>
      </w:pPr>
      <w:bookmarkStart w:id="3" w:name="文件标题"/>
      <w:r>
        <w:rPr>
          <w:rFonts w:ascii="方正小标宋简体" w:eastAsia="方正小标宋简体" w:hAnsi="宋体" w:cs="宋体" w:hint="eastAsia"/>
          <w:color w:val="000000"/>
          <w:kern w:val="0"/>
          <w:sz w:val="44"/>
          <w:szCs w:val="44"/>
        </w:rPr>
        <w:t>关于印发《南京大学</w:t>
      </w:r>
    </w:p>
    <w:p w:rsidR="00112D5B" w:rsidRDefault="003B6604">
      <w:pPr>
        <w:autoSpaceDE w:val="0"/>
        <w:autoSpaceDN w:val="0"/>
        <w:adjustRightInd w:val="0"/>
        <w:snapToGrid w:val="0"/>
        <w:spacing w:line="600" w:lineRule="exact"/>
        <w:jc w:val="center"/>
        <w:rPr>
          <w:rFonts w:ascii="方正小标宋简体" w:eastAsia="方正小标宋简体"/>
          <w:szCs w:val="32"/>
        </w:rPr>
      </w:pPr>
      <w:r>
        <w:rPr>
          <w:rFonts w:ascii="方正小标宋简体" w:eastAsia="方正小标宋简体" w:hAnsi="宋体" w:cs="宋体" w:hint="eastAsia"/>
          <w:color w:val="000000"/>
          <w:kern w:val="0"/>
          <w:sz w:val="44"/>
          <w:szCs w:val="44"/>
        </w:rPr>
        <w:t>研究系列岗位聘用管理办法》的通知</w:t>
      </w:r>
      <w:bookmarkEnd w:id="3"/>
    </w:p>
    <w:p w:rsidR="00112D5B" w:rsidRDefault="00112D5B">
      <w:pPr>
        <w:spacing w:line="520" w:lineRule="exact"/>
        <w:rPr>
          <w:rFonts w:ascii="方正小标宋简体" w:eastAsia="方正小标宋简体"/>
          <w:sz w:val="44"/>
          <w:szCs w:val="44"/>
        </w:rPr>
      </w:pPr>
      <w:bookmarkStart w:id="4" w:name="_Toc18574208"/>
      <w:bookmarkStart w:id="5" w:name="_Toc9852673"/>
    </w:p>
    <w:p w:rsidR="00112D5B" w:rsidRDefault="003B6604">
      <w:pPr>
        <w:adjustRightInd w:val="0"/>
        <w:snapToGrid w:val="0"/>
        <w:spacing w:line="520" w:lineRule="exact"/>
        <w:rPr>
          <w:rFonts w:ascii="仿宋" w:eastAsia="仿宋" w:hAnsi="仿宋"/>
          <w:szCs w:val="32"/>
        </w:rPr>
      </w:pPr>
      <w:r>
        <w:rPr>
          <w:rFonts w:ascii="仿宋" w:eastAsia="仿宋" w:hAnsi="仿宋" w:hint="eastAsia"/>
          <w:szCs w:val="32"/>
        </w:rPr>
        <w:t>各院系、各单位：</w:t>
      </w:r>
    </w:p>
    <w:p w:rsidR="00112D5B" w:rsidRDefault="003B6604">
      <w:pPr>
        <w:adjustRightInd w:val="0"/>
        <w:snapToGrid w:val="0"/>
        <w:spacing w:line="520" w:lineRule="exact"/>
        <w:ind w:firstLineChars="200" w:firstLine="632"/>
        <w:rPr>
          <w:rFonts w:ascii="仿宋" w:eastAsia="仿宋" w:hAnsi="仿宋"/>
          <w:szCs w:val="32"/>
        </w:rPr>
      </w:pPr>
      <w:r>
        <w:rPr>
          <w:rFonts w:ascii="仿宋" w:eastAsia="仿宋" w:hAnsi="仿宋" w:hint="eastAsia"/>
          <w:szCs w:val="32"/>
        </w:rPr>
        <w:t>为加快推进世界一流大学和一流学科建设，进一步做好研究系列队伍选聘与管理，建设一支高水平的科学研究队伍，不断提升科学研究水平，结合学校实际，特制定《南京大学研究系列岗位聘用管理办法》，现印发给你们，请遵照执行。</w:t>
      </w:r>
    </w:p>
    <w:p w:rsidR="00112D5B" w:rsidRDefault="003B6604">
      <w:pPr>
        <w:adjustRightInd w:val="0"/>
        <w:snapToGrid w:val="0"/>
        <w:spacing w:line="520" w:lineRule="exact"/>
        <w:ind w:firstLineChars="200" w:firstLine="632"/>
        <w:rPr>
          <w:rFonts w:ascii="仿宋" w:eastAsia="仿宋" w:hAnsi="仿宋"/>
          <w:szCs w:val="32"/>
        </w:rPr>
      </w:pPr>
      <w:r>
        <w:rPr>
          <w:rFonts w:ascii="仿宋" w:eastAsia="仿宋" w:hAnsi="仿宋" w:hint="eastAsia"/>
          <w:szCs w:val="32"/>
        </w:rPr>
        <w:t>特此通知。</w:t>
      </w:r>
    </w:p>
    <w:p w:rsidR="00112D5B" w:rsidRDefault="00112D5B">
      <w:pPr>
        <w:adjustRightInd w:val="0"/>
        <w:snapToGrid w:val="0"/>
        <w:spacing w:line="520" w:lineRule="exact"/>
        <w:ind w:firstLineChars="200" w:firstLine="632"/>
        <w:rPr>
          <w:rFonts w:ascii="仿宋" w:eastAsia="仿宋" w:hAnsi="仿宋"/>
          <w:szCs w:val="32"/>
        </w:rPr>
      </w:pPr>
    </w:p>
    <w:p w:rsidR="00112D5B" w:rsidRDefault="003B6604">
      <w:pPr>
        <w:adjustRightInd w:val="0"/>
        <w:snapToGrid w:val="0"/>
        <w:spacing w:line="520" w:lineRule="exact"/>
        <w:ind w:firstLineChars="200" w:firstLine="632"/>
        <w:rPr>
          <w:rFonts w:ascii="仿宋" w:eastAsia="仿宋" w:hAnsi="仿宋"/>
          <w:szCs w:val="32"/>
        </w:rPr>
      </w:pPr>
      <w:r>
        <w:rPr>
          <w:rFonts w:ascii="仿宋" w:eastAsia="仿宋" w:hAnsi="仿宋" w:hint="eastAsia"/>
          <w:szCs w:val="32"/>
        </w:rPr>
        <w:t>附件：南京大学研究系列岗位聘用管理办法</w:t>
      </w:r>
    </w:p>
    <w:p w:rsidR="00112D5B" w:rsidRDefault="00112D5B">
      <w:pPr>
        <w:adjustRightInd w:val="0"/>
        <w:snapToGrid w:val="0"/>
        <w:spacing w:line="520" w:lineRule="exact"/>
        <w:ind w:firstLineChars="200" w:firstLine="632"/>
        <w:rPr>
          <w:rFonts w:ascii="仿宋" w:eastAsia="仿宋" w:hAnsi="仿宋"/>
          <w:szCs w:val="32"/>
        </w:rPr>
      </w:pPr>
    </w:p>
    <w:p w:rsidR="00112D5B" w:rsidRDefault="00112D5B">
      <w:pPr>
        <w:adjustRightInd w:val="0"/>
        <w:snapToGrid w:val="0"/>
        <w:spacing w:line="520" w:lineRule="exact"/>
        <w:ind w:firstLineChars="200" w:firstLine="632"/>
        <w:rPr>
          <w:rFonts w:ascii="仿宋" w:eastAsia="仿宋" w:hAnsi="仿宋"/>
          <w:szCs w:val="32"/>
        </w:rPr>
      </w:pPr>
    </w:p>
    <w:p w:rsidR="00112D5B" w:rsidRDefault="003B6604">
      <w:pPr>
        <w:autoSpaceDE w:val="0"/>
        <w:autoSpaceDN w:val="0"/>
        <w:adjustRightInd w:val="0"/>
        <w:snapToGrid w:val="0"/>
        <w:spacing w:line="520" w:lineRule="exact"/>
        <w:rPr>
          <w:rFonts w:ascii="仿宋" w:eastAsia="仿宋" w:hAnsi="仿宋" w:cs="仿宋_GB2312"/>
          <w:color w:val="000000"/>
          <w:kern w:val="0"/>
          <w:szCs w:val="32"/>
        </w:rPr>
      </w:pPr>
      <w:r>
        <w:rPr>
          <w:rFonts w:ascii="仿宋" w:eastAsia="仿宋" w:hAnsi="仿宋" w:cs="仿宋_GB2312" w:hint="eastAsia"/>
          <w:color w:val="000000"/>
          <w:kern w:val="0"/>
          <w:szCs w:val="32"/>
        </w:rPr>
        <w:t xml:space="preserve">                                   </w:t>
      </w:r>
      <w:r>
        <w:rPr>
          <w:rFonts w:ascii="仿宋" w:eastAsia="仿宋" w:hAnsi="仿宋" w:hint="eastAsia"/>
          <w:szCs w:val="32"/>
        </w:rPr>
        <w:t>南京</w:t>
      </w:r>
      <w:r>
        <w:rPr>
          <w:rFonts w:ascii="仿宋" w:eastAsia="仿宋" w:hAnsi="仿宋"/>
          <w:szCs w:val="32"/>
        </w:rPr>
        <w:t>大学</w:t>
      </w:r>
    </w:p>
    <w:p w:rsidR="00112D5B" w:rsidRDefault="003B6604">
      <w:pPr>
        <w:autoSpaceDE w:val="0"/>
        <w:autoSpaceDN w:val="0"/>
        <w:adjustRightInd w:val="0"/>
        <w:spacing w:line="520" w:lineRule="exact"/>
        <w:rPr>
          <w:rFonts w:ascii="仿宋" w:eastAsia="仿宋" w:hAnsi="仿宋" w:cs="仿宋_GB2312"/>
          <w:color w:val="000000"/>
          <w:kern w:val="0"/>
          <w:szCs w:val="32"/>
        </w:rPr>
      </w:pPr>
      <w:r>
        <w:rPr>
          <w:rFonts w:ascii="仿宋" w:eastAsia="仿宋" w:hAnsi="仿宋" w:cs="仿宋_GB2312" w:hint="eastAsia"/>
          <w:color w:val="000000"/>
          <w:kern w:val="0"/>
          <w:szCs w:val="32"/>
        </w:rPr>
        <w:t xml:space="preserve">　　　　　　　　　　　　　　　   </w:t>
      </w:r>
      <w:bookmarkStart w:id="6" w:name="签发日期"/>
      <w:r>
        <w:rPr>
          <w:rFonts w:ascii="仿宋" w:eastAsia="仿宋" w:hAnsi="仿宋" w:cs="仿宋_GB2312" w:hint="eastAsia"/>
          <w:color w:val="000000"/>
          <w:kern w:val="0"/>
          <w:szCs w:val="32"/>
        </w:rPr>
        <w:t>2019年9月23日</w:t>
      </w:r>
      <w:bookmarkEnd w:id="6"/>
    </w:p>
    <w:p w:rsidR="00112D5B" w:rsidRDefault="003B6604">
      <w:pPr>
        <w:widowControl/>
        <w:adjustRightInd w:val="0"/>
        <w:snapToGrid w:val="0"/>
        <w:spacing w:line="520" w:lineRule="exact"/>
        <w:jc w:val="left"/>
        <w:rPr>
          <w:rFonts w:ascii="仿宋" w:eastAsia="仿宋" w:hAnsi="仿宋"/>
          <w:bCs/>
          <w:kern w:val="44"/>
          <w:sz w:val="44"/>
          <w:szCs w:val="44"/>
        </w:rPr>
      </w:pPr>
      <w:r>
        <w:rPr>
          <w:rFonts w:ascii="仿宋" w:eastAsia="仿宋" w:hAnsi="仿宋"/>
          <w:bCs/>
          <w:kern w:val="44"/>
          <w:sz w:val="44"/>
          <w:szCs w:val="44"/>
        </w:rPr>
        <w:br w:type="page"/>
      </w:r>
      <w:r>
        <w:rPr>
          <w:rFonts w:ascii="黑体" w:eastAsia="黑体" w:hAnsi="黑体" w:hint="eastAsia"/>
          <w:szCs w:val="32"/>
        </w:rPr>
        <w:lastRenderedPageBreak/>
        <w:t>附件</w:t>
      </w:r>
    </w:p>
    <w:p w:rsidR="00112D5B" w:rsidRDefault="00112D5B">
      <w:pPr>
        <w:spacing w:line="520" w:lineRule="exact"/>
        <w:rPr>
          <w:rFonts w:ascii="黑体" w:eastAsia="黑体" w:hAnsi="黑体"/>
          <w:szCs w:val="32"/>
        </w:rPr>
      </w:pPr>
    </w:p>
    <w:p w:rsidR="00112D5B" w:rsidRDefault="003B6604">
      <w:pPr>
        <w:spacing w:line="520" w:lineRule="exact"/>
        <w:jc w:val="center"/>
        <w:rPr>
          <w:rFonts w:ascii="方正小标宋简体"/>
          <w:sz w:val="44"/>
        </w:rPr>
      </w:pPr>
      <w:r>
        <w:rPr>
          <w:rFonts w:ascii="方正小标宋简体" w:eastAsia="方正小标宋简体" w:hint="eastAsia"/>
          <w:sz w:val="44"/>
          <w:szCs w:val="44"/>
        </w:rPr>
        <w:t>南京大学研究系列岗位聘用管理办法</w:t>
      </w:r>
      <w:bookmarkEnd w:id="4"/>
      <w:bookmarkEnd w:id="5"/>
    </w:p>
    <w:p w:rsidR="00112D5B" w:rsidRDefault="00112D5B">
      <w:pPr>
        <w:spacing w:line="520" w:lineRule="exact"/>
      </w:pP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zCs w:val="32"/>
        </w:rPr>
        <w:t>为加快推进世界一流大学和一流学科建设，进一步做好研究系列队伍选聘与管理，建设一支高水平的科学研究队伍，不断提升科学研究水平，</w:t>
      </w:r>
      <w:r>
        <w:rPr>
          <w:rFonts w:ascii="仿宋" w:eastAsia="仿宋" w:hAnsi="仿宋" w:hint="eastAsia"/>
          <w:snapToGrid w:val="0"/>
          <w:kern w:val="0"/>
          <w:szCs w:val="32"/>
        </w:rPr>
        <w:t>结合学校实际，制定本办法。</w:t>
      </w: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t>岗位性质与设置</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研究系列岗位是非事业编制，以科研为主，独立于教学科研系列和教学系列的专业技术岗位。</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研究系列岗位包括特任研究员、特任副研究员、特任助理研究员和博士后等岗位。</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研究系列岗位为全时全职岗位，采用聘期制管理，一般</w:t>
      </w:r>
      <w:r>
        <w:rPr>
          <w:rFonts w:ascii="仿宋" w:hAnsi="仿宋"/>
          <w:snapToGrid w:val="0"/>
          <w:kern w:val="0"/>
          <w:szCs w:val="32"/>
        </w:rPr>
        <w:t>3</w:t>
      </w:r>
      <w:r>
        <w:rPr>
          <w:rFonts w:ascii="仿宋" w:hAnsi="仿宋" w:hint="eastAsia"/>
          <w:snapToGrid w:val="0"/>
          <w:kern w:val="0"/>
          <w:szCs w:val="32"/>
        </w:rPr>
        <w:t>年为一个聘期。在职博士后参照本办法执行。</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岗位设置原则上向学校重点学科倾斜，实行队伍建设质量与岗位数分配挂钩管理。院系根据学科建设、科学研究需要，制定研究系列队伍建设五年规划和年度执行计划，按照二级学科或研究方向进行岗位配置，报学校审批同意后执行。</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岗位管理实行联系教授（博士后人员对应为合作导师，下同）负责制。研究系列岗位由院系和联系教授根据学科建设和科学研究需要，经所在院系审批同意，向人力资源处申报设立。联系教授是岗位和在岗人员管理第一责任人，设岗院系和单位是第一责任单位。</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研究系列各岗位应有明确的岗位任务、任职要求和薪酬范围，在学校基本要求基础上，由各院系各单位制定详细标准，经学校审议通过后执行。</w:t>
      </w:r>
    </w:p>
    <w:p w:rsidR="00112D5B" w:rsidRDefault="00112D5B">
      <w:pPr>
        <w:pStyle w:val="aa"/>
        <w:adjustRightInd w:val="0"/>
        <w:snapToGrid w:val="0"/>
        <w:spacing w:line="480" w:lineRule="exact"/>
        <w:ind w:left="1363" w:firstLineChars="0" w:firstLine="0"/>
        <w:jc w:val="left"/>
        <w:rPr>
          <w:rFonts w:ascii="黑体" w:eastAsia="黑体" w:hAnsi="黑体"/>
          <w:snapToGrid w:val="0"/>
          <w:kern w:val="0"/>
          <w:szCs w:val="32"/>
        </w:rPr>
      </w:pP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lastRenderedPageBreak/>
        <w:t>岗位任职基本要求</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遵守国家法律和法规，拥护中国共产党领导，热爱教育与科研事业；具有良好的职业道德和敬业精神，学风端正，敬业爱岗，为人师表。</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具有博士学位，具备本学科扎实的理论基础和专业特长，有明确的研究方向，取得了较好的研究成果并具备良好的发展潜力；具有相应岗位要求的外语和计算机信息技术应用等能力。</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拟聘特任研究员岗位还应具备下列条件之一：</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（一）海外知名高校或研究机构的教授、副教授，或具有相当专业技术职务；</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（二）国内著名高校或研究机构的教授、副教授或研究员、副研究员，或具有其他系列正高级专业技术职务人员；</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（三）海内外知名高校或研究机构特别优秀的博士后。</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拟聘特任副研究员岗位还应具备下列条件之一：</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（一）海外知名高校或研究机构助理教授及以上人员；</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（二）国内著名高校或研究机构优秀的研究人员；</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（三）知名高校或研究机构优秀博士毕业生或博士后。</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拟聘特任助理研究员岗位，申报时年龄一般不超过</w:t>
      </w:r>
      <w:r>
        <w:rPr>
          <w:rFonts w:ascii="仿宋" w:hAnsi="仿宋"/>
          <w:snapToGrid w:val="0"/>
          <w:kern w:val="0"/>
          <w:szCs w:val="32"/>
        </w:rPr>
        <w:t xml:space="preserve"> 35 </w:t>
      </w:r>
      <w:r>
        <w:rPr>
          <w:rFonts w:ascii="仿宋" w:hAnsi="仿宋" w:hint="eastAsia"/>
          <w:snapToGrid w:val="0"/>
          <w:kern w:val="0"/>
          <w:szCs w:val="32"/>
        </w:rPr>
        <w:t>周岁，还应具备下列条件之一：</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（一）知名高校或研究机构应届博士毕业生；</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（二）知名高校或研究机构教学人员、科研人员、博士后出站人员；</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（三）著名企业研发人员，具有专业技术岗位从业经验。</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拟聘研究系列博士后岗位应符合国家博士后进站条件。</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应有良好的科研成果发表记录。原则上应聘特任助理研究员岗位和博士后岗位应至少有两篇</w:t>
      </w:r>
      <w:r>
        <w:rPr>
          <w:snapToGrid w:val="0"/>
          <w:kern w:val="0"/>
          <w:szCs w:val="32"/>
        </w:rPr>
        <w:t>CSSCI</w:t>
      </w:r>
      <w:r>
        <w:rPr>
          <w:snapToGrid w:val="0"/>
          <w:kern w:val="0"/>
          <w:szCs w:val="32"/>
        </w:rPr>
        <w:t>、</w:t>
      </w:r>
      <w:r>
        <w:rPr>
          <w:snapToGrid w:val="0"/>
          <w:kern w:val="0"/>
          <w:szCs w:val="32"/>
        </w:rPr>
        <w:lastRenderedPageBreak/>
        <w:t>SSCI</w:t>
      </w:r>
      <w:r>
        <w:rPr>
          <w:snapToGrid w:val="0"/>
          <w:kern w:val="0"/>
          <w:szCs w:val="32"/>
        </w:rPr>
        <w:t>、</w:t>
      </w:r>
      <w:r>
        <w:rPr>
          <w:snapToGrid w:val="0"/>
          <w:kern w:val="0"/>
          <w:szCs w:val="32"/>
        </w:rPr>
        <w:t>A&amp;HCI</w:t>
      </w:r>
      <w:r>
        <w:rPr>
          <w:rFonts w:ascii="仿宋" w:hAnsi="仿宋" w:hint="eastAsia"/>
          <w:snapToGrid w:val="0"/>
          <w:kern w:val="0"/>
          <w:szCs w:val="32"/>
        </w:rPr>
        <w:t>或</w:t>
      </w:r>
      <w:r>
        <w:rPr>
          <w:snapToGrid w:val="0"/>
          <w:kern w:val="0"/>
          <w:szCs w:val="32"/>
        </w:rPr>
        <w:t>SCI</w:t>
      </w:r>
      <w:r>
        <w:rPr>
          <w:rFonts w:ascii="仿宋" w:hAnsi="仿宋" w:hint="eastAsia"/>
          <w:snapToGrid w:val="0"/>
          <w:kern w:val="0"/>
          <w:szCs w:val="32"/>
        </w:rPr>
        <w:t>论文发表。应聘特任副研究员、特任研究员岗位的应有更高的标准，由院系制定并报学校备案后执行。</w:t>
      </w: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t>聘用程序</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研究系列岗位全部实行公开招聘制度。设</w:t>
      </w:r>
      <w:r>
        <w:rPr>
          <w:rFonts w:ascii="仿宋" w:hAnsi="仿宋"/>
          <w:snapToGrid w:val="0"/>
          <w:kern w:val="0"/>
          <w:szCs w:val="32"/>
        </w:rPr>
        <w:t>岗</w:t>
      </w:r>
      <w:r>
        <w:rPr>
          <w:rFonts w:ascii="仿宋" w:hAnsi="仿宋" w:hint="eastAsia"/>
          <w:snapToGrid w:val="0"/>
          <w:kern w:val="0"/>
          <w:szCs w:val="32"/>
        </w:rPr>
        <w:t>院系提交</w:t>
      </w:r>
      <w:r>
        <w:rPr>
          <w:rFonts w:ascii="仿宋" w:hAnsi="仿宋"/>
          <w:snapToGrid w:val="0"/>
          <w:kern w:val="0"/>
          <w:szCs w:val="32"/>
        </w:rPr>
        <w:t>招聘公告，由人力资源处</w:t>
      </w:r>
      <w:r>
        <w:rPr>
          <w:rFonts w:ascii="仿宋" w:hAnsi="仿宋" w:hint="eastAsia"/>
          <w:snapToGrid w:val="0"/>
          <w:kern w:val="0"/>
          <w:szCs w:val="32"/>
        </w:rPr>
        <w:t>统一发</w:t>
      </w:r>
      <w:r>
        <w:rPr>
          <w:rFonts w:ascii="仿宋" w:hAnsi="仿宋"/>
          <w:snapToGrid w:val="0"/>
          <w:kern w:val="0"/>
          <w:szCs w:val="32"/>
        </w:rPr>
        <w:t>布</w:t>
      </w:r>
      <w:r>
        <w:rPr>
          <w:rFonts w:ascii="仿宋" w:hAnsi="仿宋" w:hint="eastAsia"/>
          <w:snapToGrid w:val="0"/>
          <w:kern w:val="0"/>
          <w:szCs w:val="32"/>
        </w:rPr>
        <w:t>进行</w:t>
      </w:r>
      <w:r>
        <w:rPr>
          <w:rFonts w:ascii="仿宋" w:hAnsi="仿宋"/>
          <w:snapToGrid w:val="0"/>
          <w:kern w:val="0"/>
          <w:szCs w:val="32"/>
        </w:rPr>
        <w:t>招聘。</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岗位聘用的基本程序和要求为：</w:t>
      </w:r>
    </w:p>
    <w:p w:rsidR="00112D5B" w:rsidRDefault="003B6604">
      <w:pPr>
        <w:pStyle w:val="aa"/>
        <w:numPr>
          <w:ilvl w:val="1"/>
          <w:numId w:val="2"/>
        </w:numPr>
        <w:tabs>
          <w:tab w:val="left" w:pos="1134"/>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联系教授根据院系研究系列岗位规划和年度计划，向院系单位提交设岗申请，明确岗位任务（应明确主要研究内容、申请并主持科研项目要求、学术论文发表要求等）、任职要求和薪酬范围。经院系审核同意向人力资源处申报岗位需求，人力资源处审核同意后发布公开招聘信息。</w:t>
      </w:r>
    </w:p>
    <w:p w:rsidR="00112D5B" w:rsidRDefault="003B6604">
      <w:pPr>
        <w:pStyle w:val="aa"/>
        <w:numPr>
          <w:ilvl w:val="1"/>
          <w:numId w:val="2"/>
        </w:numPr>
        <w:tabs>
          <w:tab w:val="left" w:pos="1134"/>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各院系单位接收申报人材料。材料</w:t>
      </w:r>
      <w:r>
        <w:rPr>
          <w:rFonts w:ascii="仿宋" w:hAnsi="仿宋"/>
          <w:snapToGrid w:val="0"/>
          <w:kern w:val="0"/>
          <w:szCs w:val="32"/>
        </w:rPr>
        <w:t>包括</w:t>
      </w:r>
      <w:r>
        <w:rPr>
          <w:rFonts w:ascii="仿宋" w:hAnsi="仿宋" w:hint="eastAsia"/>
          <w:snapToGrid w:val="0"/>
          <w:kern w:val="0"/>
          <w:szCs w:val="32"/>
        </w:rPr>
        <w:t>申报表、</w:t>
      </w:r>
      <w:r>
        <w:rPr>
          <w:rFonts w:ascii="仿宋" w:hAnsi="仿宋"/>
          <w:snapToGrid w:val="0"/>
          <w:kern w:val="0"/>
          <w:szCs w:val="32"/>
        </w:rPr>
        <w:t>薪酬确认单，并</w:t>
      </w:r>
      <w:r>
        <w:rPr>
          <w:rFonts w:ascii="仿宋" w:hAnsi="仿宋" w:hint="eastAsia"/>
          <w:snapToGrid w:val="0"/>
          <w:kern w:val="0"/>
          <w:szCs w:val="32"/>
        </w:rPr>
        <w:t>附个人详细简历。</w:t>
      </w:r>
    </w:p>
    <w:p w:rsidR="00112D5B" w:rsidRDefault="003B6604">
      <w:pPr>
        <w:pStyle w:val="aa"/>
        <w:numPr>
          <w:ilvl w:val="1"/>
          <w:numId w:val="2"/>
        </w:numPr>
        <w:tabs>
          <w:tab w:val="left" w:pos="1134"/>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各院系单位成立研究系列岗位聘任考核专家小组（同时承担本院系单位博士后管理委员会职责）。专家小组组成人员相对固定，原则上应具有高级职务，实行任期制，一般为</w:t>
      </w:r>
      <w:r>
        <w:rPr>
          <w:rFonts w:ascii="仿宋" w:hAnsi="仿宋"/>
          <w:snapToGrid w:val="0"/>
          <w:kern w:val="0"/>
          <w:szCs w:val="32"/>
        </w:rPr>
        <w:t>7</w:t>
      </w:r>
      <w:r>
        <w:rPr>
          <w:rFonts w:ascii="仿宋" w:hAnsi="仿宋" w:hint="eastAsia"/>
          <w:snapToGrid w:val="0"/>
          <w:kern w:val="0"/>
          <w:szCs w:val="32"/>
        </w:rPr>
        <w:t>～</w:t>
      </w:r>
      <w:r>
        <w:rPr>
          <w:rFonts w:ascii="仿宋" w:hAnsi="仿宋"/>
          <w:snapToGrid w:val="0"/>
          <w:kern w:val="0"/>
          <w:szCs w:val="32"/>
        </w:rPr>
        <w:t>15</w:t>
      </w:r>
      <w:r>
        <w:rPr>
          <w:rFonts w:ascii="仿宋" w:hAnsi="仿宋" w:hint="eastAsia"/>
          <w:snapToGrid w:val="0"/>
          <w:kern w:val="0"/>
          <w:szCs w:val="32"/>
        </w:rPr>
        <w:t>人；评审时专家应由不少于</w:t>
      </w:r>
      <w:r>
        <w:rPr>
          <w:rFonts w:ascii="仿宋" w:hAnsi="仿宋"/>
          <w:snapToGrid w:val="0"/>
          <w:kern w:val="0"/>
          <w:szCs w:val="32"/>
        </w:rPr>
        <w:t>5</w:t>
      </w:r>
      <w:r>
        <w:rPr>
          <w:rFonts w:ascii="仿宋" w:hAnsi="仿宋" w:hint="eastAsia"/>
          <w:snapToGrid w:val="0"/>
          <w:kern w:val="0"/>
          <w:szCs w:val="32"/>
        </w:rPr>
        <w:t>人的单数组成，不包括评审岗位的联系教授以及申报人研究生导师，具有亲属或其他利害关系的专家应主动回避；专家小组负责向本单位提交评审结果与意见，专家对评审过程和结果等相关信息保密。</w:t>
      </w:r>
    </w:p>
    <w:p w:rsidR="00112D5B" w:rsidRDefault="003B6604">
      <w:pPr>
        <w:pStyle w:val="aa"/>
        <w:numPr>
          <w:ilvl w:val="1"/>
          <w:numId w:val="2"/>
        </w:numPr>
        <w:tabs>
          <w:tab w:val="left" w:pos="1134"/>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院系单位组织研究系列岗位聘任考核专家小组参照由各院系单位制定的研究系列岗位详细标准，公平公正地对应聘人员进行面试评审。评审内容应包括（但不限于）：思想政治表现、师德师风学风、胜任岗位要求的能力、完成岗位任务的潜力、全时全职在岗工作的可行性，以及薪酬标准。获得与会专家二分之一以上（含二分之一）同意票视为</w:t>
      </w:r>
      <w:r>
        <w:rPr>
          <w:rFonts w:ascii="仿宋" w:hAnsi="仿宋" w:hint="eastAsia"/>
          <w:snapToGrid w:val="0"/>
          <w:kern w:val="0"/>
          <w:szCs w:val="32"/>
        </w:rPr>
        <w:lastRenderedPageBreak/>
        <w:t>通过，其中同意票不足三分之二（不含三分之二）的，薪酬出资方式应由院系单位全额承担，同意票三分之二以上（含三分之二）的，薪酬按附表比例进行配资。</w:t>
      </w:r>
    </w:p>
    <w:p w:rsidR="00112D5B" w:rsidRDefault="003B6604">
      <w:pPr>
        <w:pStyle w:val="aa"/>
        <w:numPr>
          <w:ilvl w:val="1"/>
          <w:numId w:val="2"/>
        </w:numPr>
        <w:tabs>
          <w:tab w:val="left" w:pos="1134"/>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院系单位会议审核岗位信息和专家小组评审意见，并进行师德师风审查，填写审批意见后向学校提交岗位及候选人推荐意见。</w:t>
      </w:r>
    </w:p>
    <w:p w:rsidR="00112D5B" w:rsidRDefault="003B6604">
      <w:pPr>
        <w:pStyle w:val="aa"/>
        <w:numPr>
          <w:ilvl w:val="1"/>
          <w:numId w:val="2"/>
        </w:numPr>
        <w:tabs>
          <w:tab w:val="left" w:pos="1134"/>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学校成立研究系列岗位聘任考核专家组（同时承担学校博士后管理委员会职责）。专家组组成人员与要求参照本条第（三）款。</w:t>
      </w:r>
    </w:p>
    <w:p w:rsidR="00112D5B" w:rsidRDefault="003B6604">
      <w:pPr>
        <w:pStyle w:val="aa"/>
        <w:numPr>
          <w:ilvl w:val="1"/>
          <w:numId w:val="2"/>
        </w:numPr>
        <w:tabs>
          <w:tab w:val="left" w:pos="1134"/>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人力资源处根据岗位任务、任职要求和薪酬范围，审核个人材料、院系单位专家小组评审意见和院系单位推荐意见，根据审核结论提出是否同意的聘用意见并反馈院系；视需要，人力资源处可提请专家组对设岗单位推荐的岗位候选人进行评审，提出聘用意见，包括岗位任务要求、薪酬待遇标准、学校和院系出资比例等。评审意见报分管校领导审批。</w:t>
      </w:r>
    </w:p>
    <w:p w:rsidR="00112D5B" w:rsidRDefault="003B6604">
      <w:pPr>
        <w:pStyle w:val="aa"/>
        <w:numPr>
          <w:ilvl w:val="1"/>
          <w:numId w:val="2"/>
        </w:numPr>
        <w:tabs>
          <w:tab w:val="left" w:pos="1134"/>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岗位候选人公示。对于公示无异议的，发放录用通知，办理人事聘用手续。</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学校一年分四次集中办理入职，具体时间为</w:t>
      </w:r>
      <w:r>
        <w:rPr>
          <w:rFonts w:ascii="仿宋" w:hAnsi="仿宋"/>
          <w:snapToGrid w:val="0"/>
          <w:kern w:val="0"/>
          <w:szCs w:val="32"/>
        </w:rPr>
        <w:t>1</w:t>
      </w:r>
      <w:r>
        <w:rPr>
          <w:rFonts w:ascii="仿宋" w:hAnsi="仿宋" w:hint="eastAsia"/>
          <w:snapToGrid w:val="0"/>
          <w:kern w:val="0"/>
          <w:szCs w:val="32"/>
        </w:rPr>
        <w:t>月、</w:t>
      </w:r>
      <w:r>
        <w:rPr>
          <w:rFonts w:ascii="仿宋" w:hAnsi="仿宋"/>
          <w:snapToGrid w:val="0"/>
          <w:kern w:val="0"/>
          <w:szCs w:val="32"/>
        </w:rPr>
        <w:t>4</w:t>
      </w:r>
      <w:r>
        <w:rPr>
          <w:rFonts w:ascii="仿宋" w:hAnsi="仿宋" w:hint="eastAsia"/>
          <w:snapToGrid w:val="0"/>
          <w:kern w:val="0"/>
          <w:szCs w:val="32"/>
        </w:rPr>
        <w:t>月、</w:t>
      </w:r>
      <w:r>
        <w:rPr>
          <w:rFonts w:ascii="仿宋" w:hAnsi="仿宋"/>
          <w:snapToGrid w:val="0"/>
          <w:kern w:val="0"/>
          <w:szCs w:val="32"/>
        </w:rPr>
        <w:t>7</w:t>
      </w:r>
      <w:r>
        <w:rPr>
          <w:rFonts w:ascii="仿宋" w:hAnsi="仿宋" w:hint="eastAsia"/>
          <w:snapToGrid w:val="0"/>
          <w:kern w:val="0"/>
          <w:szCs w:val="32"/>
        </w:rPr>
        <w:t>月、</w:t>
      </w:r>
      <w:r>
        <w:rPr>
          <w:rFonts w:ascii="仿宋" w:hAnsi="仿宋"/>
          <w:snapToGrid w:val="0"/>
          <w:kern w:val="0"/>
          <w:szCs w:val="32"/>
        </w:rPr>
        <w:t>10</w:t>
      </w:r>
      <w:r>
        <w:rPr>
          <w:rFonts w:ascii="仿宋" w:hAnsi="仿宋" w:hint="eastAsia"/>
          <w:snapToGrid w:val="0"/>
          <w:kern w:val="0"/>
          <w:szCs w:val="32"/>
        </w:rPr>
        <w:t>月上旬。</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学校根据工作需要可直接聘用研究系列人员。</w:t>
      </w: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t>岗位待遇</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研究系列岗位聘用人员实行年薪制。拟聘岗位年薪标准、学校和聘用单位人员经费承担比例、最低工资标准和学校最高承担额度等信息见附表。</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对于符合评审要求的研究系列人员，其在两个聘期（含在南京大学博士后流动站工作时间，下同）</w:t>
      </w:r>
      <w:r>
        <w:rPr>
          <w:rFonts w:ascii="仿宋" w:hAnsi="仿宋"/>
          <w:snapToGrid w:val="0"/>
          <w:kern w:val="0"/>
          <w:szCs w:val="32"/>
        </w:rPr>
        <w:t>6</w:t>
      </w:r>
      <w:r>
        <w:rPr>
          <w:rFonts w:ascii="仿宋" w:hAnsi="仿宋" w:hint="eastAsia"/>
          <w:snapToGrid w:val="0"/>
          <w:kern w:val="0"/>
          <w:szCs w:val="32"/>
        </w:rPr>
        <w:t>年内的人员经费由学校和院系按比例共同承担。原则</w:t>
      </w:r>
      <w:r>
        <w:rPr>
          <w:rFonts w:ascii="仿宋" w:hAnsi="仿宋"/>
          <w:snapToGrid w:val="0"/>
          <w:kern w:val="0"/>
          <w:szCs w:val="32"/>
        </w:rPr>
        <w:t>上，</w:t>
      </w:r>
      <w:r>
        <w:rPr>
          <w:rFonts w:ascii="仿宋" w:hAnsi="仿宋" w:hint="eastAsia"/>
          <w:snapToGrid w:val="0"/>
          <w:kern w:val="0"/>
          <w:szCs w:val="32"/>
        </w:rPr>
        <w:t>研究系</w:t>
      </w:r>
      <w:r>
        <w:rPr>
          <w:rFonts w:ascii="仿宋" w:hAnsi="仿宋" w:hint="eastAsia"/>
          <w:snapToGrid w:val="0"/>
          <w:kern w:val="0"/>
          <w:szCs w:val="32"/>
        </w:rPr>
        <w:lastRenderedPageBreak/>
        <w:t>列人员两个聘期结束后其年薪全部由院系单位自筹；对于</w:t>
      </w:r>
      <w:r>
        <w:rPr>
          <w:rFonts w:ascii="仿宋" w:hAnsi="仿宋"/>
          <w:snapToGrid w:val="0"/>
          <w:kern w:val="0"/>
          <w:szCs w:val="32"/>
        </w:rPr>
        <w:t>少量</w:t>
      </w:r>
      <w:r>
        <w:rPr>
          <w:rFonts w:ascii="仿宋" w:hAnsi="仿宋" w:hint="eastAsia"/>
          <w:snapToGrid w:val="0"/>
          <w:kern w:val="0"/>
          <w:szCs w:val="32"/>
        </w:rPr>
        <w:t>经过严格考核，成绩非常突出的，且为院系学科建设和科学研究急需的，可以续聘</w:t>
      </w:r>
      <w:r>
        <w:rPr>
          <w:rFonts w:ascii="仿宋" w:hAnsi="仿宋"/>
          <w:snapToGrid w:val="0"/>
          <w:kern w:val="0"/>
          <w:szCs w:val="32"/>
        </w:rPr>
        <w:t>1</w:t>
      </w:r>
      <w:r>
        <w:rPr>
          <w:rStyle w:val="bjh-p"/>
          <w:color w:val="333333"/>
        </w:rPr>
        <w:t>～</w:t>
      </w:r>
      <w:r>
        <w:rPr>
          <w:rFonts w:ascii="仿宋" w:hAnsi="仿宋"/>
          <w:snapToGrid w:val="0"/>
          <w:kern w:val="0"/>
          <w:szCs w:val="32"/>
        </w:rPr>
        <w:t>2</w:t>
      </w:r>
      <w:r>
        <w:rPr>
          <w:rFonts w:ascii="仿宋" w:hAnsi="仿宋" w:hint="eastAsia"/>
          <w:snapToGrid w:val="0"/>
          <w:kern w:val="0"/>
          <w:szCs w:val="32"/>
        </w:rPr>
        <w:t>个聘期，其人员经费仍然由学校和院系按比例共同承担。续聘研究系列人员严格控制数量。</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院系单位承担的人员经费，在办理报到手续时由院系办理转账缴纳至学校账户，学校根据标准按月发放至研究系列人员个人账户。</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学校根据人才队伍发展需要，可以设立校级研究系列（含博士后）岗位，由学校全额出资聘用。具体岗位要求和薪酬标准以另行文件或招聘公告为准。</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研究系列人员的实验及办公用房等由设岗院系单位负责解决。</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社会保险与福利待遇：</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一）学校依法为研究系列人员（特任研究员、特任副研究员和特任助理研究员，含统招统分的境外博士后人员）办理南京市企业职工社会保险，办理住房公积金。研究系列人员不享受学校公费医疗待遇，不享受住房分配、住房补贴和租金补贴等待遇，可按学校规定租住学校周转房。</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（二）其他统招统分博士后按照国家相关规定享受有关医疗和社会保险等待遇。</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（三）在职博士后所有社会保险与福利待遇在其人事关系所在单位享受。</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根据社会保险和住房公积金相关政策，学校应承担的社会保险和住房公积金单位缴费部分由学校在年薪标准之外另行承担。</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境外学术交流和研修。研究系列人员因工作需要可以申请参加国际学术交流和境外合作研究。</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lastRenderedPageBreak/>
        <w:t>（一）短期访学：进行短期（</w:t>
      </w:r>
      <w:r>
        <w:rPr>
          <w:rFonts w:ascii="仿宋" w:eastAsia="仿宋" w:hAnsi="仿宋"/>
          <w:snapToGrid w:val="0"/>
          <w:kern w:val="0"/>
          <w:szCs w:val="32"/>
        </w:rPr>
        <w:t>3</w:t>
      </w:r>
      <w:r>
        <w:rPr>
          <w:rFonts w:ascii="仿宋" w:eastAsia="仿宋" w:hAnsi="仿宋" w:hint="eastAsia"/>
          <w:snapToGrid w:val="0"/>
          <w:kern w:val="0"/>
          <w:szCs w:val="32"/>
        </w:rPr>
        <w:t>个月以内）的学术交流和科研合作、能较好执行访学计划并取得预期成果的，原则上待遇不变。</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（二）长期合作研究：</w:t>
      </w:r>
    </w:p>
    <w:p w:rsidR="00112D5B" w:rsidRDefault="003B6604">
      <w:pPr>
        <w:numPr>
          <w:ilvl w:val="0"/>
          <w:numId w:val="3"/>
        </w:num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研究系列人员可在第一</w:t>
      </w:r>
      <w:r>
        <w:rPr>
          <w:rFonts w:ascii="仿宋" w:eastAsia="仿宋" w:hAnsi="仿宋"/>
          <w:snapToGrid w:val="0"/>
          <w:kern w:val="0"/>
          <w:szCs w:val="32"/>
        </w:rPr>
        <w:t>个聘期</w:t>
      </w:r>
      <w:r>
        <w:rPr>
          <w:rFonts w:ascii="仿宋" w:eastAsia="仿宋" w:hAnsi="仿宋" w:hint="eastAsia"/>
          <w:snapToGrid w:val="0"/>
          <w:kern w:val="0"/>
          <w:szCs w:val="32"/>
        </w:rPr>
        <w:t>以</w:t>
      </w:r>
      <w:r>
        <w:rPr>
          <w:rFonts w:ascii="仿宋" w:eastAsia="仿宋" w:hAnsi="仿宋"/>
          <w:snapToGrid w:val="0"/>
          <w:kern w:val="0"/>
          <w:szCs w:val="32"/>
        </w:rPr>
        <w:t>后</w:t>
      </w:r>
      <w:r>
        <w:rPr>
          <w:rFonts w:ascii="仿宋" w:eastAsia="仿宋" w:hAnsi="仿宋" w:hint="eastAsia"/>
          <w:snapToGrid w:val="0"/>
          <w:kern w:val="0"/>
          <w:szCs w:val="32"/>
        </w:rPr>
        <w:t>申请境外</w:t>
      </w:r>
      <w:r>
        <w:rPr>
          <w:rFonts w:ascii="仿宋" w:eastAsia="仿宋" w:hAnsi="仿宋"/>
          <w:snapToGrid w:val="0"/>
          <w:kern w:val="0"/>
          <w:szCs w:val="32"/>
        </w:rPr>
        <w:t>长期</w:t>
      </w:r>
      <w:r>
        <w:rPr>
          <w:rFonts w:ascii="仿宋" w:eastAsia="仿宋" w:hAnsi="仿宋" w:hint="eastAsia"/>
          <w:snapToGrid w:val="0"/>
          <w:kern w:val="0"/>
          <w:szCs w:val="32"/>
        </w:rPr>
        <w:t>（</w:t>
      </w:r>
      <w:r>
        <w:rPr>
          <w:rFonts w:ascii="仿宋" w:eastAsia="仿宋" w:hAnsi="仿宋"/>
          <w:snapToGrid w:val="0"/>
          <w:kern w:val="0"/>
          <w:szCs w:val="32"/>
        </w:rPr>
        <w:t>3～12</w:t>
      </w:r>
      <w:r>
        <w:rPr>
          <w:rFonts w:ascii="仿宋" w:eastAsia="仿宋" w:hAnsi="仿宋" w:hint="eastAsia"/>
          <w:snapToGrid w:val="0"/>
          <w:kern w:val="0"/>
          <w:szCs w:val="32"/>
        </w:rPr>
        <w:t>个月</w:t>
      </w:r>
      <w:r>
        <w:rPr>
          <w:rFonts w:ascii="仿宋" w:eastAsia="仿宋" w:hAnsi="仿宋"/>
          <w:snapToGrid w:val="0"/>
          <w:kern w:val="0"/>
          <w:szCs w:val="32"/>
        </w:rPr>
        <w:t>）合作研究</w:t>
      </w:r>
      <w:r>
        <w:rPr>
          <w:rFonts w:ascii="仿宋" w:eastAsia="仿宋" w:hAnsi="仿宋" w:hint="eastAsia"/>
          <w:snapToGrid w:val="0"/>
          <w:kern w:val="0"/>
          <w:szCs w:val="32"/>
        </w:rPr>
        <w:t>一</w:t>
      </w:r>
      <w:r>
        <w:rPr>
          <w:rFonts w:ascii="仿宋" w:eastAsia="仿宋" w:hAnsi="仿宋"/>
          <w:snapToGrid w:val="0"/>
          <w:kern w:val="0"/>
          <w:szCs w:val="32"/>
        </w:rPr>
        <w:t>次</w:t>
      </w:r>
      <w:r>
        <w:rPr>
          <w:rFonts w:ascii="仿宋" w:eastAsia="仿宋" w:hAnsi="仿宋" w:hint="eastAsia"/>
          <w:snapToGrid w:val="0"/>
          <w:kern w:val="0"/>
          <w:szCs w:val="32"/>
        </w:rPr>
        <w:t>。</w:t>
      </w:r>
      <w:r>
        <w:rPr>
          <w:rFonts w:ascii="仿宋" w:eastAsia="仿宋" w:hAnsi="仿宋"/>
          <w:snapToGrid w:val="0"/>
          <w:kern w:val="0"/>
          <w:szCs w:val="32"/>
        </w:rPr>
        <w:t>要</w:t>
      </w:r>
      <w:r>
        <w:rPr>
          <w:rFonts w:ascii="仿宋" w:eastAsia="仿宋" w:hAnsi="仿宋" w:hint="eastAsia"/>
          <w:snapToGrid w:val="0"/>
          <w:kern w:val="0"/>
          <w:szCs w:val="32"/>
        </w:rPr>
        <w:t>求</w:t>
      </w:r>
      <w:r>
        <w:rPr>
          <w:rFonts w:ascii="仿宋" w:eastAsia="仿宋" w:hAnsi="仿宋"/>
          <w:snapToGrid w:val="0"/>
          <w:kern w:val="0"/>
          <w:szCs w:val="32"/>
        </w:rPr>
        <w:t>前一个聘期</w:t>
      </w:r>
      <w:r>
        <w:rPr>
          <w:rFonts w:ascii="仿宋" w:eastAsia="仿宋" w:hAnsi="仿宋" w:hint="eastAsia"/>
          <w:snapToGrid w:val="0"/>
          <w:kern w:val="0"/>
          <w:szCs w:val="32"/>
        </w:rPr>
        <w:t>至少</w:t>
      </w:r>
      <w:r>
        <w:rPr>
          <w:rFonts w:ascii="仿宋" w:eastAsia="仿宋" w:hAnsi="仿宋"/>
          <w:snapToGrid w:val="0"/>
          <w:kern w:val="0"/>
          <w:szCs w:val="32"/>
        </w:rPr>
        <w:t>在本学科一流期刊发表过研究论文，且聘期考核结果为优秀。</w:t>
      </w:r>
      <w:r>
        <w:rPr>
          <w:rFonts w:ascii="仿宋" w:eastAsia="仿宋" w:hAnsi="仿宋" w:hint="eastAsia"/>
          <w:snapToGrid w:val="0"/>
          <w:kern w:val="0"/>
          <w:szCs w:val="32"/>
        </w:rPr>
        <w:t>原则上不得申请超过</w:t>
      </w:r>
      <w:r>
        <w:rPr>
          <w:rFonts w:ascii="仿宋" w:eastAsia="仿宋" w:hAnsi="仿宋"/>
          <w:snapToGrid w:val="0"/>
          <w:kern w:val="0"/>
          <w:szCs w:val="32"/>
        </w:rPr>
        <w:t>1</w:t>
      </w:r>
      <w:r>
        <w:rPr>
          <w:rFonts w:ascii="仿宋" w:eastAsia="仿宋" w:hAnsi="仿宋" w:hint="eastAsia"/>
          <w:snapToGrid w:val="0"/>
          <w:kern w:val="0"/>
          <w:szCs w:val="32"/>
        </w:rPr>
        <w:t>年的境外合作研究。</w:t>
      </w:r>
    </w:p>
    <w:p w:rsidR="00112D5B" w:rsidRDefault="003B6604">
      <w:pPr>
        <w:numPr>
          <w:ilvl w:val="0"/>
          <w:numId w:val="3"/>
        </w:num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研究系列人员申请境外</w:t>
      </w:r>
      <w:r>
        <w:rPr>
          <w:rFonts w:ascii="仿宋" w:eastAsia="仿宋" w:hAnsi="仿宋"/>
          <w:snapToGrid w:val="0"/>
          <w:kern w:val="0"/>
          <w:szCs w:val="32"/>
        </w:rPr>
        <w:t>长期合作研究</w:t>
      </w:r>
      <w:r>
        <w:rPr>
          <w:rFonts w:ascii="仿宋" w:eastAsia="仿宋" w:hAnsi="仿宋" w:hint="eastAsia"/>
          <w:snapToGrid w:val="0"/>
          <w:kern w:val="0"/>
          <w:szCs w:val="32"/>
        </w:rPr>
        <w:t>，</w:t>
      </w:r>
      <w:r>
        <w:rPr>
          <w:rFonts w:ascii="仿宋" w:eastAsia="仿宋" w:hAnsi="仿宋"/>
          <w:snapToGrid w:val="0"/>
          <w:kern w:val="0"/>
          <w:szCs w:val="32"/>
        </w:rPr>
        <w:t>须获得</w:t>
      </w:r>
      <w:r>
        <w:rPr>
          <w:rFonts w:ascii="仿宋" w:eastAsia="仿宋" w:hAnsi="仿宋" w:hint="eastAsia"/>
          <w:snapToGrid w:val="0"/>
          <w:kern w:val="0"/>
          <w:szCs w:val="32"/>
        </w:rPr>
        <w:t>国家留学基金管理委员会或江苏省等校</w:t>
      </w:r>
      <w:r>
        <w:rPr>
          <w:rFonts w:ascii="仿宋" w:eastAsia="仿宋" w:hAnsi="仿宋"/>
          <w:snapToGrid w:val="0"/>
          <w:kern w:val="0"/>
          <w:szCs w:val="32"/>
        </w:rPr>
        <w:t>外第三方</w:t>
      </w:r>
      <w:r>
        <w:rPr>
          <w:rFonts w:ascii="仿宋" w:eastAsia="仿宋" w:hAnsi="仿宋" w:hint="eastAsia"/>
          <w:snapToGrid w:val="0"/>
          <w:kern w:val="0"/>
          <w:szCs w:val="32"/>
        </w:rPr>
        <w:t>项目资助。</w:t>
      </w:r>
    </w:p>
    <w:p w:rsidR="00112D5B" w:rsidRDefault="003B6604">
      <w:pPr>
        <w:numPr>
          <w:ilvl w:val="0"/>
          <w:numId w:val="3"/>
        </w:num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境外</w:t>
      </w:r>
      <w:r>
        <w:rPr>
          <w:rFonts w:ascii="仿宋" w:eastAsia="仿宋" w:hAnsi="仿宋"/>
          <w:snapToGrid w:val="0"/>
          <w:kern w:val="0"/>
          <w:szCs w:val="32"/>
        </w:rPr>
        <w:t>合作研究</w:t>
      </w:r>
      <w:r>
        <w:rPr>
          <w:rFonts w:ascii="仿宋" w:eastAsia="仿宋" w:hAnsi="仿宋" w:hint="eastAsia"/>
          <w:snapToGrid w:val="0"/>
          <w:kern w:val="0"/>
          <w:szCs w:val="32"/>
        </w:rPr>
        <w:t>申请必须</w:t>
      </w:r>
      <w:r>
        <w:rPr>
          <w:rFonts w:ascii="仿宋" w:eastAsia="仿宋" w:hAnsi="仿宋"/>
          <w:snapToGrid w:val="0"/>
          <w:kern w:val="0"/>
          <w:szCs w:val="32"/>
        </w:rPr>
        <w:t>提供详细的研究计划</w:t>
      </w:r>
      <w:r>
        <w:rPr>
          <w:rFonts w:ascii="仿宋" w:eastAsia="仿宋" w:hAnsi="仿宋" w:hint="eastAsia"/>
          <w:snapToGrid w:val="0"/>
          <w:kern w:val="0"/>
          <w:szCs w:val="32"/>
        </w:rPr>
        <w:t>和</w:t>
      </w:r>
      <w:r>
        <w:rPr>
          <w:rFonts w:ascii="仿宋" w:eastAsia="仿宋" w:hAnsi="仿宋"/>
          <w:snapToGrid w:val="0"/>
          <w:kern w:val="0"/>
          <w:szCs w:val="32"/>
        </w:rPr>
        <w:t>具体的</w:t>
      </w:r>
      <w:r>
        <w:rPr>
          <w:rFonts w:ascii="仿宋" w:eastAsia="仿宋" w:hAnsi="仿宋" w:hint="eastAsia"/>
          <w:snapToGrid w:val="0"/>
          <w:kern w:val="0"/>
          <w:szCs w:val="32"/>
        </w:rPr>
        <w:t>目标</w:t>
      </w:r>
      <w:r>
        <w:rPr>
          <w:rFonts w:ascii="仿宋" w:eastAsia="仿宋" w:hAnsi="仿宋"/>
          <w:snapToGrid w:val="0"/>
          <w:kern w:val="0"/>
          <w:szCs w:val="32"/>
        </w:rPr>
        <w:t>任务</w:t>
      </w:r>
      <w:r>
        <w:rPr>
          <w:rFonts w:ascii="仿宋" w:eastAsia="仿宋" w:hAnsi="仿宋" w:hint="eastAsia"/>
          <w:snapToGrid w:val="0"/>
          <w:kern w:val="0"/>
          <w:szCs w:val="32"/>
        </w:rPr>
        <w:t>。对于计划</w:t>
      </w:r>
      <w:r>
        <w:rPr>
          <w:rFonts w:ascii="仿宋" w:eastAsia="仿宋" w:hAnsi="仿宋"/>
          <w:snapToGrid w:val="0"/>
          <w:kern w:val="0"/>
          <w:szCs w:val="32"/>
        </w:rPr>
        <w:t>可行</w:t>
      </w:r>
      <w:r>
        <w:rPr>
          <w:rFonts w:ascii="仿宋" w:eastAsia="仿宋" w:hAnsi="仿宋" w:hint="eastAsia"/>
          <w:snapToGrid w:val="0"/>
          <w:kern w:val="0"/>
          <w:szCs w:val="32"/>
        </w:rPr>
        <w:t>、</w:t>
      </w:r>
      <w:r>
        <w:rPr>
          <w:rFonts w:ascii="仿宋" w:eastAsia="仿宋" w:hAnsi="仿宋"/>
          <w:snapToGrid w:val="0"/>
          <w:kern w:val="0"/>
          <w:szCs w:val="32"/>
        </w:rPr>
        <w:t>任务饱满的申请，</w:t>
      </w:r>
      <w:r>
        <w:rPr>
          <w:rFonts w:ascii="仿宋" w:eastAsia="仿宋" w:hAnsi="仿宋" w:hint="eastAsia"/>
          <w:snapToGrid w:val="0"/>
          <w:kern w:val="0"/>
          <w:szCs w:val="32"/>
        </w:rPr>
        <w:t>经个人申请、联系教授同意、院系评估和学校同意后，可在学校和院系出资方式不变的条件下，申请境外合作研究期间待遇正常按月预发，根据合作</w:t>
      </w:r>
      <w:r>
        <w:rPr>
          <w:rFonts w:ascii="仿宋" w:eastAsia="仿宋" w:hAnsi="仿宋"/>
          <w:snapToGrid w:val="0"/>
          <w:kern w:val="0"/>
          <w:szCs w:val="32"/>
        </w:rPr>
        <w:t>研究</w:t>
      </w:r>
      <w:r>
        <w:rPr>
          <w:rFonts w:ascii="仿宋" w:eastAsia="仿宋" w:hAnsi="仿宋" w:hint="eastAsia"/>
          <w:snapToGrid w:val="0"/>
          <w:kern w:val="0"/>
          <w:szCs w:val="32"/>
        </w:rPr>
        <w:t>考核结果最终核算。合作</w:t>
      </w:r>
      <w:r>
        <w:rPr>
          <w:rFonts w:ascii="仿宋" w:eastAsia="仿宋" w:hAnsi="仿宋"/>
          <w:snapToGrid w:val="0"/>
          <w:kern w:val="0"/>
          <w:szCs w:val="32"/>
        </w:rPr>
        <w:t>研究</w:t>
      </w:r>
      <w:r>
        <w:rPr>
          <w:rFonts w:ascii="仿宋" w:eastAsia="仿宋" w:hAnsi="仿宋" w:hint="eastAsia"/>
          <w:snapToGrid w:val="0"/>
          <w:kern w:val="0"/>
          <w:szCs w:val="32"/>
        </w:rPr>
        <w:t>考核以申请书</w:t>
      </w:r>
      <w:r>
        <w:rPr>
          <w:rFonts w:ascii="仿宋" w:eastAsia="仿宋" w:hAnsi="仿宋"/>
          <w:snapToGrid w:val="0"/>
          <w:kern w:val="0"/>
          <w:szCs w:val="32"/>
        </w:rPr>
        <w:t>中的目标任务为准，</w:t>
      </w:r>
      <w:r>
        <w:rPr>
          <w:rFonts w:ascii="仿宋" w:eastAsia="仿宋" w:hAnsi="仿宋" w:hint="eastAsia"/>
          <w:snapToGrid w:val="0"/>
          <w:kern w:val="0"/>
          <w:szCs w:val="32"/>
        </w:rPr>
        <w:t>结果为合格及以上等级者，待遇保持不变；基本合格者，将对研修期间薪酬的</w:t>
      </w:r>
      <w:r>
        <w:rPr>
          <w:rFonts w:ascii="仿宋" w:eastAsia="仿宋" w:hAnsi="仿宋"/>
          <w:snapToGrid w:val="0"/>
          <w:kern w:val="0"/>
          <w:szCs w:val="32"/>
        </w:rPr>
        <w:t>40%</w:t>
      </w:r>
      <w:r>
        <w:rPr>
          <w:rFonts w:ascii="仿宋" w:eastAsia="仿宋" w:hAnsi="仿宋" w:hint="eastAsia"/>
          <w:snapToGrid w:val="0"/>
          <w:kern w:val="0"/>
          <w:szCs w:val="32"/>
        </w:rPr>
        <w:t>进行补充扣发或计入离职违约金；考核等级为不合格者，对研修期间薪酬的</w:t>
      </w:r>
      <w:r>
        <w:rPr>
          <w:rFonts w:ascii="仿宋" w:eastAsia="仿宋" w:hAnsi="仿宋"/>
          <w:snapToGrid w:val="0"/>
          <w:kern w:val="0"/>
          <w:szCs w:val="32"/>
        </w:rPr>
        <w:t>80%</w:t>
      </w:r>
      <w:r>
        <w:rPr>
          <w:rFonts w:ascii="仿宋" w:eastAsia="仿宋" w:hAnsi="仿宋" w:hint="eastAsia"/>
          <w:snapToGrid w:val="0"/>
          <w:kern w:val="0"/>
          <w:szCs w:val="32"/>
        </w:rPr>
        <w:t>进行补充扣发或计入离职违约金。对于计划</w:t>
      </w:r>
      <w:r>
        <w:rPr>
          <w:rFonts w:ascii="仿宋" w:eastAsia="仿宋" w:hAnsi="仿宋"/>
          <w:snapToGrid w:val="0"/>
          <w:kern w:val="0"/>
          <w:szCs w:val="32"/>
        </w:rPr>
        <w:t>不可行</w:t>
      </w:r>
      <w:r>
        <w:rPr>
          <w:rFonts w:ascii="仿宋" w:eastAsia="仿宋" w:hAnsi="仿宋" w:hint="eastAsia"/>
          <w:snapToGrid w:val="0"/>
          <w:kern w:val="0"/>
          <w:szCs w:val="32"/>
        </w:rPr>
        <w:t>、</w:t>
      </w:r>
      <w:r>
        <w:rPr>
          <w:rFonts w:ascii="仿宋" w:eastAsia="仿宋" w:hAnsi="仿宋"/>
          <w:snapToGrid w:val="0"/>
          <w:kern w:val="0"/>
          <w:szCs w:val="32"/>
        </w:rPr>
        <w:t>目标任务空洞的</w:t>
      </w:r>
      <w:r>
        <w:rPr>
          <w:rFonts w:ascii="仿宋" w:eastAsia="仿宋" w:hAnsi="仿宋" w:hint="eastAsia"/>
          <w:snapToGrid w:val="0"/>
          <w:kern w:val="0"/>
          <w:szCs w:val="32"/>
        </w:rPr>
        <w:t>申请</w:t>
      </w:r>
      <w:r>
        <w:rPr>
          <w:rFonts w:ascii="仿宋" w:eastAsia="仿宋" w:hAnsi="仿宋"/>
          <w:snapToGrid w:val="0"/>
          <w:kern w:val="0"/>
          <w:szCs w:val="32"/>
        </w:rPr>
        <w:t>不予</w:t>
      </w:r>
      <w:r>
        <w:rPr>
          <w:rFonts w:ascii="仿宋" w:eastAsia="仿宋" w:hAnsi="仿宋" w:hint="eastAsia"/>
          <w:snapToGrid w:val="0"/>
          <w:kern w:val="0"/>
          <w:szCs w:val="32"/>
        </w:rPr>
        <w:t>批准。</w:t>
      </w:r>
    </w:p>
    <w:p w:rsidR="00112D5B" w:rsidRDefault="003B6604">
      <w:pPr>
        <w:numPr>
          <w:ilvl w:val="0"/>
          <w:numId w:val="3"/>
        </w:num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境外</w:t>
      </w:r>
      <w:r>
        <w:rPr>
          <w:rFonts w:ascii="仿宋" w:eastAsia="仿宋" w:hAnsi="仿宋"/>
          <w:snapToGrid w:val="0"/>
          <w:kern w:val="0"/>
          <w:szCs w:val="32"/>
        </w:rPr>
        <w:t>长期合作研究</w:t>
      </w:r>
      <w:r>
        <w:rPr>
          <w:rFonts w:ascii="仿宋" w:eastAsia="仿宋" w:hAnsi="仿宋" w:hint="eastAsia"/>
          <w:snapToGrid w:val="0"/>
          <w:kern w:val="0"/>
          <w:szCs w:val="32"/>
        </w:rPr>
        <w:t>设</w:t>
      </w:r>
      <w:r>
        <w:rPr>
          <w:rFonts w:ascii="仿宋" w:eastAsia="仿宋" w:hAnsi="仿宋"/>
          <w:snapToGrid w:val="0"/>
          <w:kern w:val="0"/>
          <w:szCs w:val="32"/>
        </w:rPr>
        <w:t>2年回校服务期</w:t>
      </w:r>
      <w:r>
        <w:rPr>
          <w:rFonts w:ascii="仿宋" w:eastAsia="仿宋" w:hAnsi="仿宋" w:hint="eastAsia"/>
          <w:snapToGrid w:val="0"/>
          <w:kern w:val="0"/>
          <w:szCs w:val="32"/>
        </w:rPr>
        <w:t>。如果离职（晋升本校教职者除外）时不满</w:t>
      </w:r>
      <w:r>
        <w:rPr>
          <w:rFonts w:ascii="仿宋" w:eastAsia="仿宋" w:hAnsi="仿宋"/>
          <w:snapToGrid w:val="0"/>
          <w:kern w:val="0"/>
          <w:szCs w:val="32"/>
        </w:rPr>
        <w:t>2</w:t>
      </w:r>
      <w:r>
        <w:rPr>
          <w:rFonts w:ascii="仿宋" w:eastAsia="仿宋" w:hAnsi="仿宋" w:hint="eastAsia"/>
          <w:snapToGrid w:val="0"/>
          <w:kern w:val="0"/>
          <w:szCs w:val="32"/>
        </w:rPr>
        <w:t>年，境外学术交流和合作研究期间（</w:t>
      </w:r>
      <w:r>
        <w:rPr>
          <w:rFonts w:ascii="仿宋" w:eastAsia="仿宋" w:hAnsi="仿宋"/>
          <w:snapToGrid w:val="0"/>
          <w:kern w:val="0"/>
          <w:szCs w:val="32"/>
        </w:rPr>
        <w:t>3</w:t>
      </w:r>
      <w:r>
        <w:rPr>
          <w:rFonts w:ascii="仿宋" w:eastAsia="仿宋" w:hAnsi="仿宋" w:hint="eastAsia"/>
          <w:snapToGrid w:val="0"/>
          <w:kern w:val="0"/>
          <w:szCs w:val="32"/>
        </w:rPr>
        <w:t>个月以上起计，剩余不满</w:t>
      </w:r>
      <w:r>
        <w:rPr>
          <w:rFonts w:ascii="仿宋" w:eastAsia="仿宋" w:hAnsi="仿宋"/>
          <w:snapToGrid w:val="0"/>
          <w:kern w:val="0"/>
          <w:szCs w:val="32"/>
        </w:rPr>
        <w:t>1</w:t>
      </w:r>
      <w:r>
        <w:rPr>
          <w:rFonts w:ascii="仿宋" w:eastAsia="仿宋" w:hAnsi="仿宋" w:hint="eastAsia"/>
          <w:snapToGrid w:val="0"/>
          <w:kern w:val="0"/>
          <w:szCs w:val="32"/>
        </w:rPr>
        <w:t>个月不计入）薪酬的</w:t>
      </w:r>
      <w:r>
        <w:rPr>
          <w:rFonts w:ascii="仿宋" w:eastAsia="仿宋" w:hAnsi="仿宋"/>
          <w:snapToGrid w:val="0"/>
          <w:kern w:val="0"/>
          <w:szCs w:val="32"/>
        </w:rPr>
        <w:t>80%</w:t>
      </w:r>
      <w:r>
        <w:rPr>
          <w:rFonts w:ascii="仿宋" w:eastAsia="仿宋" w:hAnsi="仿宋" w:hint="eastAsia"/>
          <w:snapToGrid w:val="0"/>
          <w:kern w:val="0"/>
          <w:szCs w:val="32"/>
        </w:rPr>
        <w:t>计入离职违约金。</w:t>
      </w: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t>合同管理与考核续聘</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研究系列人员实行合同管理和聘期制。获聘人员与学校签订聘用合同和岗位协议（在职博士后只签订岗位协议）；原则上</w:t>
      </w:r>
      <w:r>
        <w:rPr>
          <w:rFonts w:ascii="仿宋" w:hAnsi="仿宋"/>
          <w:snapToGrid w:val="0"/>
          <w:kern w:val="0"/>
          <w:szCs w:val="32"/>
        </w:rPr>
        <w:t>3</w:t>
      </w:r>
      <w:r>
        <w:rPr>
          <w:rFonts w:ascii="仿宋" w:hAnsi="仿宋" w:hint="eastAsia"/>
          <w:snapToGrid w:val="0"/>
          <w:kern w:val="0"/>
          <w:szCs w:val="32"/>
        </w:rPr>
        <w:t>年为一个聘期，博士后聘期可为</w:t>
      </w:r>
      <w:r>
        <w:rPr>
          <w:rFonts w:ascii="仿宋" w:hAnsi="仿宋"/>
          <w:snapToGrid w:val="0"/>
          <w:kern w:val="0"/>
          <w:szCs w:val="32"/>
        </w:rPr>
        <w:t>2</w:t>
      </w:r>
      <w:r>
        <w:rPr>
          <w:rFonts w:ascii="仿宋" w:hAnsi="仿宋" w:hint="eastAsia"/>
          <w:snapToGrid w:val="0"/>
          <w:kern w:val="0"/>
          <w:szCs w:val="32"/>
        </w:rPr>
        <w:t>年。</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lastRenderedPageBreak/>
        <w:t>设岗单位和联系教授应加强对研究系列人员的日常管理，及时递交人事材料，按时缴纳人员经费。</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研究系列岗位聘用人员考核分年度考核和聘用合同期满考核。每年底根据学校统一部署进行年度考核。合同结束</w:t>
      </w:r>
      <w:r>
        <w:rPr>
          <w:rFonts w:ascii="仿宋" w:hAnsi="仿宋"/>
          <w:snapToGrid w:val="0"/>
          <w:kern w:val="0"/>
          <w:szCs w:val="32"/>
        </w:rPr>
        <w:t>3</w:t>
      </w:r>
      <w:r>
        <w:rPr>
          <w:rFonts w:ascii="仿宋" w:hAnsi="仿宋" w:hint="eastAsia"/>
          <w:snapToGrid w:val="0"/>
          <w:kern w:val="0"/>
          <w:szCs w:val="32"/>
        </w:rPr>
        <w:t>个月前，设岗单位应启动对所聘研究系列人员的聘期考核，在合同结束</w:t>
      </w:r>
      <w:r>
        <w:rPr>
          <w:rFonts w:ascii="仿宋" w:hAnsi="仿宋"/>
          <w:snapToGrid w:val="0"/>
          <w:kern w:val="0"/>
          <w:szCs w:val="32"/>
        </w:rPr>
        <w:t>1</w:t>
      </w:r>
      <w:r>
        <w:rPr>
          <w:rFonts w:ascii="仿宋" w:hAnsi="仿宋" w:hint="eastAsia"/>
          <w:snapToGrid w:val="0"/>
          <w:kern w:val="0"/>
          <w:szCs w:val="32"/>
        </w:rPr>
        <w:t>个月前向学校报送聘期考核材料和聘期</w:t>
      </w:r>
      <w:r>
        <w:rPr>
          <w:rFonts w:ascii="仿宋" w:hAnsi="仿宋"/>
          <w:snapToGrid w:val="0"/>
          <w:kern w:val="0"/>
          <w:szCs w:val="32"/>
        </w:rPr>
        <w:t>考核等级建议。</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个人参加设岗单位年度考核，设岗单位年度考核结果报学校，经学校审核批准后执行。对于年度考核中不能按岗位要求完成岗位任务的人员，予以终止聘用。</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聘期考核程序和要求如下：</w:t>
      </w:r>
    </w:p>
    <w:p w:rsidR="00112D5B" w:rsidRDefault="003B6604">
      <w:pPr>
        <w:pStyle w:val="aa"/>
        <w:numPr>
          <w:ilvl w:val="0"/>
          <w:numId w:val="4"/>
        </w:numPr>
        <w:tabs>
          <w:tab w:val="left" w:pos="993"/>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聘用人员根据岗位要求的工作任务和工作目标向设岗</w:t>
      </w:r>
      <w:r>
        <w:rPr>
          <w:rFonts w:ascii="仿宋" w:hAnsi="仿宋" w:hint="eastAsia"/>
          <w:snapToGrid w:val="0"/>
          <w:spacing w:val="-10"/>
          <w:kern w:val="0"/>
          <w:szCs w:val="32"/>
        </w:rPr>
        <w:t>院系单位研究系列岗位聘用考核专家小组汇报履行岗位职责情况。</w:t>
      </w:r>
    </w:p>
    <w:p w:rsidR="00112D5B" w:rsidRDefault="003B6604">
      <w:pPr>
        <w:pStyle w:val="aa"/>
        <w:numPr>
          <w:ilvl w:val="0"/>
          <w:numId w:val="4"/>
        </w:numPr>
        <w:tabs>
          <w:tab w:val="left" w:pos="993"/>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聘用考核专家小组对照岗位任务，客观公平地对聘用人员思想品德与学风、聘期内完成的科研工作情况等进行考核。</w:t>
      </w:r>
    </w:p>
    <w:p w:rsidR="00112D5B" w:rsidRDefault="003B6604" w:rsidP="00471E10">
      <w:pPr>
        <w:pStyle w:val="aa"/>
        <w:numPr>
          <w:ilvl w:val="0"/>
          <w:numId w:val="4"/>
        </w:numPr>
        <w:tabs>
          <w:tab w:val="left" w:pos="993"/>
        </w:tabs>
        <w:adjustRightInd w:val="0"/>
        <w:snapToGrid w:val="0"/>
        <w:spacing w:line="480" w:lineRule="exact"/>
        <w:ind w:left="0" w:rightChars="-56" w:right="-177" w:firstLine="632"/>
        <w:rPr>
          <w:rFonts w:ascii="仿宋" w:hAnsi="仿宋"/>
          <w:snapToGrid w:val="0"/>
          <w:kern w:val="0"/>
          <w:szCs w:val="32"/>
        </w:rPr>
      </w:pPr>
      <w:r>
        <w:rPr>
          <w:rFonts w:ascii="仿宋" w:hAnsi="仿宋" w:hint="eastAsia"/>
          <w:snapToGrid w:val="0"/>
          <w:kern w:val="0"/>
          <w:szCs w:val="32"/>
        </w:rPr>
        <w:t>考核实行百分制。去掉一个最高分和一个最低分后平均得分与等级标准：</w:t>
      </w:r>
      <w:r>
        <w:rPr>
          <w:rFonts w:ascii="仿宋" w:hAnsi="仿宋"/>
          <w:snapToGrid w:val="0"/>
          <w:kern w:val="0"/>
          <w:szCs w:val="32"/>
        </w:rPr>
        <w:t>90</w:t>
      </w:r>
      <w:r>
        <w:rPr>
          <w:rFonts w:ascii="仿宋" w:hAnsi="仿宋" w:hint="eastAsia"/>
          <w:snapToGrid w:val="0"/>
          <w:kern w:val="0"/>
          <w:szCs w:val="32"/>
        </w:rPr>
        <w:t>分以上（含</w:t>
      </w:r>
      <w:r>
        <w:rPr>
          <w:rFonts w:ascii="仿宋" w:hAnsi="仿宋"/>
          <w:snapToGrid w:val="0"/>
          <w:kern w:val="0"/>
          <w:szCs w:val="32"/>
        </w:rPr>
        <w:t>90</w:t>
      </w:r>
      <w:r>
        <w:rPr>
          <w:rFonts w:ascii="仿宋" w:hAnsi="仿宋" w:hint="eastAsia"/>
          <w:snapToGrid w:val="0"/>
          <w:kern w:val="0"/>
          <w:szCs w:val="32"/>
        </w:rPr>
        <w:t>分）的等级为优秀，</w:t>
      </w:r>
      <w:r>
        <w:rPr>
          <w:rFonts w:ascii="仿宋" w:hAnsi="仿宋"/>
          <w:snapToGrid w:val="0"/>
          <w:kern w:val="0"/>
          <w:szCs w:val="32"/>
        </w:rPr>
        <w:t>80</w:t>
      </w:r>
      <w:r>
        <w:rPr>
          <w:rFonts w:ascii="仿宋" w:hAnsi="仿宋" w:hint="eastAsia"/>
          <w:snapToGrid w:val="0"/>
          <w:kern w:val="0"/>
          <w:szCs w:val="32"/>
        </w:rPr>
        <w:t>分（含）</w:t>
      </w:r>
      <w:r>
        <w:rPr>
          <w:rStyle w:val="bjh-p"/>
          <w:color w:val="333333"/>
        </w:rPr>
        <w:t>～</w:t>
      </w:r>
      <w:r>
        <w:rPr>
          <w:rFonts w:ascii="仿宋" w:hAnsi="仿宋"/>
          <w:snapToGrid w:val="0"/>
          <w:kern w:val="0"/>
          <w:szCs w:val="32"/>
        </w:rPr>
        <w:t>90</w:t>
      </w:r>
      <w:r>
        <w:rPr>
          <w:rFonts w:ascii="仿宋" w:hAnsi="仿宋" w:hint="eastAsia"/>
          <w:snapToGrid w:val="0"/>
          <w:kern w:val="0"/>
          <w:szCs w:val="32"/>
        </w:rPr>
        <w:t>分的等级为良好，</w:t>
      </w:r>
      <w:r>
        <w:rPr>
          <w:rFonts w:ascii="仿宋" w:hAnsi="仿宋"/>
          <w:snapToGrid w:val="0"/>
          <w:kern w:val="0"/>
          <w:szCs w:val="32"/>
        </w:rPr>
        <w:t>70</w:t>
      </w:r>
      <w:r>
        <w:rPr>
          <w:rFonts w:ascii="仿宋" w:hAnsi="仿宋" w:hint="eastAsia"/>
          <w:snapToGrid w:val="0"/>
          <w:kern w:val="0"/>
          <w:szCs w:val="32"/>
        </w:rPr>
        <w:t>分（含）</w:t>
      </w:r>
      <w:r>
        <w:rPr>
          <w:rStyle w:val="bjh-p"/>
          <w:color w:val="333333"/>
        </w:rPr>
        <w:t>～</w:t>
      </w:r>
      <w:r>
        <w:rPr>
          <w:rFonts w:ascii="仿宋" w:hAnsi="仿宋"/>
          <w:snapToGrid w:val="0"/>
          <w:kern w:val="0"/>
          <w:szCs w:val="32"/>
        </w:rPr>
        <w:t>80</w:t>
      </w:r>
      <w:r>
        <w:rPr>
          <w:rFonts w:ascii="仿宋" w:hAnsi="仿宋" w:hint="eastAsia"/>
          <w:snapToGrid w:val="0"/>
          <w:kern w:val="0"/>
          <w:szCs w:val="32"/>
        </w:rPr>
        <w:t>分的等级为合格，</w:t>
      </w:r>
      <w:r>
        <w:rPr>
          <w:rFonts w:ascii="仿宋" w:hAnsi="仿宋"/>
          <w:snapToGrid w:val="0"/>
          <w:kern w:val="0"/>
          <w:szCs w:val="32"/>
        </w:rPr>
        <w:t>60</w:t>
      </w:r>
      <w:r>
        <w:rPr>
          <w:rFonts w:ascii="仿宋" w:hAnsi="仿宋" w:hint="eastAsia"/>
          <w:snapToGrid w:val="0"/>
          <w:kern w:val="0"/>
          <w:szCs w:val="32"/>
        </w:rPr>
        <w:t>分（含）</w:t>
      </w:r>
      <w:r>
        <w:rPr>
          <w:rStyle w:val="bjh-p"/>
          <w:color w:val="333333"/>
        </w:rPr>
        <w:t>～</w:t>
      </w:r>
      <w:r>
        <w:rPr>
          <w:rFonts w:ascii="仿宋" w:hAnsi="仿宋"/>
          <w:snapToGrid w:val="0"/>
          <w:kern w:val="0"/>
          <w:szCs w:val="32"/>
        </w:rPr>
        <w:t>70</w:t>
      </w:r>
      <w:r>
        <w:rPr>
          <w:rFonts w:ascii="仿宋" w:hAnsi="仿宋" w:hint="eastAsia"/>
          <w:snapToGrid w:val="0"/>
          <w:kern w:val="0"/>
          <w:szCs w:val="32"/>
        </w:rPr>
        <w:t>分的等级为基本合格，</w:t>
      </w:r>
      <w:r>
        <w:rPr>
          <w:rFonts w:ascii="仿宋" w:hAnsi="仿宋"/>
          <w:snapToGrid w:val="0"/>
          <w:kern w:val="0"/>
          <w:szCs w:val="32"/>
        </w:rPr>
        <w:t>60</w:t>
      </w:r>
      <w:r>
        <w:rPr>
          <w:rFonts w:ascii="仿宋" w:hAnsi="仿宋" w:hint="eastAsia"/>
          <w:snapToGrid w:val="0"/>
          <w:kern w:val="0"/>
          <w:szCs w:val="32"/>
        </w:rPr>
        <w:t>分以下的等级为不合格。</w:t>
      </w:r>
    </w:p>
    <w:p w:rsidR="00112D5B" w:rsidRDefault="003B6604">
      <w:pPr>
        <w:pStyle w:val="aa"/>
        <w:numPr>
          <w:ilvl w:val="0"/>
          <w:numId w:val="4"/>
        </w:numPr>
        <w:tabs>
          <w:tab w:val="left" w:pos="993"/>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院系单位会议审核专家小组评审意见，并进行思想政治和师德师风考核，填写院系单位考核意见。院系所有研究系列人员优秀比例累计控制在</w:t>
      </w:r>
      <w:r>
        <w:rPr>
          <w:rFonts w:ascii="仿宋" w:hAnsi="仿宋"/>
          <w:snapToGrid w:val="0"/>
          <w:kern w:val="0"/>
          <w:szCs w:val="32"/>
        </w:rPr>
        <w:t>15%</w:t>
      </w:r>
      <w:r>
        <w:rPr>
          <w:rFonts w:ascii="仿宋" w:hAnsi="仿宋" w:hint="eastAsia"/>
          <w:snapToGrid w:val="0"/>
          <w:kern w:val="0"/>
          <w:szCs w:val="32"/>
        </w:rPr>
        <w:t>以内。</w:t>
      </w:r>
    </w:p>
    <w:p w:rsidR="00112D5B" w:rsidRDefault="003B6604">
      <w:pPr>
        <w:pStyle w:val="aa"/>
        <w:numPr>
          <w:ilvl w:val="0"/>
          <w:numId w:val="4"/>
        </w:numPr>
        <w:tabs>
          <w:tab w:val="left" w:pos="993"/>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院系考核公示。院系应将个人材料、考核等级等在本单位范围内公示</w:t>
      </w:r>
      <w:r>
        <w:rPr>
          <w:rFonts w:ascii="仿宋" w:hAnsi="仿宋"/>
          <w:snapToGrid w:val="0"/>
          <w:kern w:val="0"/>
          <w:szCs w:val="32"/>
        </w:rPr>
        <w:t>5</w:t>
      </w:r>
      <w:r>
        <w:rPr>
          <w:rFonts w:ascii="仿宋" w:hAnsi="仿宋" w:hint="eastAsia"/>
          <w:snapToGrid w:val="0"/>
          <w:kern w:val="0"/>
          <w:szCs w:val="32"/>
        </w:rPr>
        <w:t>个工作日，期满公示无异议后，报送至人力资源处。</w:t>
      </w:r>
    </w:p>
    <w:p w:rsidR="00112D5B" w:rsidRDefault="003B6604">
      <w:pPr>
        <w:pStyle w:val="aa"/>
        <w:numPr>
          <w:ilvl w:val="0"/>
          <w:numId w:val="4"/>
        </w:numPr>
        <w:tabs>
          <w:tab w:val="left" w:pos="993"/>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lastRenderedPageBreak/>
        <w:t>人力资源处根据岗位任务，审核个人材料、院系单位专家小组评审意见、院系单位考核意见，提交初步审核结论（同意或不同意院系单位考核意见）；若有不同意见，则可组织专家组对院系考核意见进行复审，提出复审意见；通过的院系单位考核意见和复审结果在人力资源处网站公示，公示无异议后向院系单位、联系教授和个人反馈。</w:t>
      </w:r>
    </w:p>
    <w:p w:rsidR="00112D5B" w:rsidRDefault="003B6604">
      <w:pPr>
        <w:pStyle w:val="aa"/>
        <w:numPr>
          <w:ilvl w:val="0"/>
          <w:numId w:val="4"/>
        </w:numPr>
        <w:tabs>
          <w:tab w:val="left" w:pos="993"/>
        </w:tabs>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考核等级为优秀的，可以续聘，可以提高薪酬标准；考核等级为良好的，可以续聘，可以提高薪酬标准；考核等级为合格的，可以续聘，原则上不提高薪酬标准；考核等级为基本合格的，原则上不续聘，如果续聘应由设岗院系全额自筹薪酬经费，且原则上应调整薪酬标准至学校规定的最低标准；考核等级为不合格的，不再续聘。对于续聘人员，人力资源处可以根据岗位任务完成情况上调院系出资比例。</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年度考核等级为不合格和基本合格者，可给予降薪、变更薪酬比例、解除聘用合同或给予退站处理。</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根据聘期考核结果与各方意见，确定是否续签聘用合同。</w:t>
      </w: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t>激励与奖惩</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为进一步激励研究系列人员开展科研创新工作，学校每年开展优秀研究系列人员评选工作，具体评选办法另行制定。</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学校在</w:t>
      </w:r>
      <w:r>
        <w:rPr>
          <w:rFonts w:ascii="仿宋" w:hAnsi="仿宋" w:hint="eastAsia"/>
          <w:szCs w:val="32"/>
        </w:rPr>
        <w:t>重点学科领域，</w:t>
      </w:r>
      <w:r>
        <w:rPr>
          <w:rFonts w:ascii="仿宋" w:hAnsi="仿宋" w:hint="eastAsia"/>
          <w:snapToGrid w:val="0"/>
          <w:kern w:val="0"/>
          <w:szCs w:val="32"/>
        </w:rPr>
        <w:t>实施“</w:t>
      </w:r>
      <w:r>
        <w:rPr>
          <w:rFonts w:ascii="仿宋" w:hAnsi="仿宋" w:hint="eastAsia"/>
          <w:szCs w:val="32"/>
        </w:rPr>
        <w:t>南京大学毓秀青年学者计划”。该计划所资助项目，面向全球招聘杰出博士毕业生来校从事交叉学科或前沿领域原创研究。具体见《</w:t>
      </w:r>
      <w:r>
        <w:rPr>
          <w:rFonts w:ascii="仿宋" w:hAnsi="仿宋"/>
          <w:szCs w:val="32"/>
        </w:rPr>
        <w:t>南京大学“毓秀青年学者计划”实施办法</w:t>
      </w:r>
      <w:r>
        <w:rPr>
          <w:rFonts w:ascii="仿宋" w:hAnsi="仿宋" w:hint="eastAsia"/>
          <w:szCs w:val="32"/>
        </w:rPr>
        <w:t>》。</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研究系列人员入选“万人计划”青年拔尖人才支持计划、教育部“长江学者奖励计划”青年学者项目，获得国家优秀青年基金等，可以直接进入准聘长聘体系的准</w:t>
      </w:r>
      <w:r>
        <w:rPr>
          <w:rFonts w:ascii="仿宋" w:hAnsi="仿宋" w:hint="eastAsia"/>
          <w:snapToGrid w:val="0"/>
          <w:kern w:val="0"/>
          <w:szCs w:val="32"/>
        </w:rPr>
        <w:lastRenderedPageBreak/>
        <w:t>聘助理教授或准聘副教授岗位（事业编制）任职。</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学校设立</w:t>
      </w:r>
      <w:r>
        <w:rPr>
          <w:rFonts w:ascii="仿宋" w:hAnsi="仿宋" w:hint="eastAsia"/>
          <w:szCs w:val="32"/>
        </w:rPr>
        <w:t>联系</w:t>
      </w:r>
      <w:r>
        <w:rPr>
          <w:rFonts w:ascii="仿宋" w:hAnsi="仿宋" w:hint="eastAsia"/>
          <w:snapToGrid w:val="0"/>
          <w:kern w:val="0"/>
          <w:szCs w:val="32"/>
        </w:rPr>
        <w:t>教授档案库，动态追踪联系教授名下研究系列人员的在岗科研情况。对于其指导的研究系列人员年度考核和聘期考核结果较差、存在师德师风学风问题或较多违约情况的联系教授，经人力资源处讨论并提交分管校领导同意，一定期限内暂停其招收指导研究系列人员资格或调整其出资比例。对于受学校处分的联系教授，处分期内不得新招研究系列人员。</w:t>
      </w: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t>专业技术职务任职资格评定</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专业技术职务任职资格评聘。学校在研究系列岗位中开展研究员、副研究员和助理研究员等专业技术职务任职资格评定工作。研究系列人员根据自身条件和任职情况进行申报。</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工作表现要求。</w:t>
      </w:r>
      <w:r>
        <w:rPr>
          <w:rFonts w:ascii="仿宋" w:hAnsi="仿宋" w:hint="eastAsia"/>
          <w:szCs w:val="32"/>
        </w:rPr>
        <w:t>申报</w:t>
      </w:r>
      <w:r>
        <w:rPr>
          <w:rFonts w:ascii="仿宋" w:hAnsi="仿宋" w:hint="eastAsia"/>
          <w:snapToGrid w:val="0"/>
          <w:kern w:val="0"/>
          <w:szCs w:val="32"/>
        </w:rPr>
        <w:t>副研究员任职资格者要</w:t>
      </w:r>
      <w:r>
        <w:rPr>
          <w:rFonts w:ascii="仿宋" w:hAnsi="仿宋"/>
          <w:snapToGrid w:val="0"/>
          <w:kern w:val="0"/>
          <w:szCs w:val="32"/>
        </w:rPr>
        <w:t>求</w:t>
      </w:r>
      <w:r>
        <w:rPr>
          <w:rFonts w:ascii="仿宋" w:hAnsi="仿宋" w:hint="eastAsia"/>
          <w:snapToGrid w:val="0"/>
          <w:kern w:val="0"/>
          <w:szCs w:val="32"/>
        </w:rPr>
        <w:t>近</w:t>
      </w:r>
      <w:r>
        <w:rPr>
          <w:rFonts w:ascii="仿宋" w:hAnsi="仿宋"/>
          <w:snapToGrid w:val="0"/>
          <w:kern w:val="0"/>
          <w:szCs w:val="32"/>
        </w:rPr>
        <w:t>3</w:t>
      </w:r>
      <w:r>
        <w:rPr>
          <w:rFonts w:ascii="仿宋" w:hAnsi="仿宋" w:hint="eastAsia"/>
          <w:snapToGrid w:val="0"/>
          <w:kern w:val="0"/>
          <w:szCs w:val="32"/>
        </w:rPr>
        <w:t>年年度和聘期考核在合格及以上等级，申报研究员任职资格者要</w:t>
      </w:r>
      <w:r>
        <w:rPr>
          <w:rFonts w:ascii="仿宋" w:hAnsi="仿宋"/>
          <w:snapToGrid w:val="0"/>
          <w:kern w:val="0"/>
          <w:szCs w:val="32"/>
        </w:rPr>
        <w:t>求</w:t>
      </w:r>
      <w:r>
        <w:rPr>
          <w:rFonts w:ascii="仿宋" w:hAnsi="仿宋" w:hint="eastAsia"/>
          <w:snapToGrid w:val="0"/>
          <w:kern w:val="0"/>
          <w:szCs w:val="32"/>
        </w:rPr>
        <w:t>近</w:t>
      </w:r>
      <w:r>
        <w:rPr>
          <w:rFonts w:ascii="仿宋" w:hAnsi="仿宋"/>
          <w:snapToGrid w:val="0"/>
          <w:kern w:val="0"/>
          <w:szCs w:val="32"/>
        </w:rPr>
        <w:t>5</w:t>
      </w:r>
      <w:r>
        <w:rPr>
          <w:rFonts w:ascii="仿宋" w:hAnsi="仿宋" w:hint="eastAsia"/>
          <w:snapToGrid w:val="0"/>
          <w:kern w:val="0"/>
          <w:szCs w:val="32"/>
        </w:rPr>
        <w:t>年年度和聘期考核在合格及以上等级。</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学历与资历要求。申请助理研究员任职资格认定者须具有博士学位，并到校工作满</w:t>
      </w:r>
      <w:r>
        <w:rPr>
          <w:rFonts w:ascii="仿宋" w:hAnsi="仿宋"/>
          <w:snapToGrid w:val="0"/>
          <w:kern w:val="0"/>
          <w:szCs w:val="32"/>
        </w:rPr>
        <w:t>3</w:t>
      </w:r>
      <w:r>
        <w:rPr>
          <w:rFonts w:ascii="仿宋" w:hAnsi="仿宋" w:hint="eastAsia"/>
          <w:snapToGrid w:val="0"/>
          <w:kern w:val="0"/>
          <w:szCs w:val="32"/>
        </w:rPr>
        <w:t>个月。申报副研究员任职资格评定者须具有博士学位，并在南京大学研究系列岗位工作满</w:t>
      </w:r>
      <w:r>
        <w:rPr>
          <w:rFonts w:ascii="仿宋" w:hAnsi="仿宋"/>
          <w:snapToGrid w:val="0"/>
          <w:kern w:val="0"/>
          <w:szCs w:val="32"/>
        </w:rPr>
        <w:t>3</w:t>
      </w:r>
      <w:r>
        <w:rPr>
          <w:rFonts w:ascii="仿宋" w:hAnsi="仿宋" w:hint="eastAsia"/>
          <w:snapToGrid w:val="0"/>
          <w:kern w:val="0"/>
          <w:szCs w:val="32"/>
        </w:rPr>
        <w:t>年。申报研究员任职资格评定者须具有博士学位，并获得副研究员专业技术职务任职资格满</w:t>
      </w:r>
      <w:r>
        <w:rPr>
          <w:rFonts w:ascii="仿宋" w:hAnsi="仿宋"/>
          <w:snapToGrid w:val="0"/>
          <w:kern w:val="0"/>
          <w:szCs w:val="32"/>
        </w:rPr>
        <w:t>5</w:t>
      </w:r>
      <w:r>
        <w:rPr>
          <w:rFonts w:ascii="仿宋" w:hAnsi="仿宋" w:hint="eastAsia"/>
          <w:snapToGrid w:val="0"/>
          <w:kern w:val="0"/>
          <w:szCs w:val="32"/>
        </w:rPr>
        <w:t>年（在其他单位获得任职资格人员，还须在我校研究系列岗位工作满</w:t>
      </w:r>
      <w:r>
        <w:rPr>
          <w:rFonts w:ascii="仿宋" w:hAnsi="仿宋"/>
          <w:snapToGrid w:val="0"/>
          <w:kern w:val="0"/>
          <w:szCs w:val="32"/>
        </w:rPr>
        <w:t>3</w:t>
      </w:r>
      <w:r>
        <w:rPr>
          <w:rFonts w:ascii="仿宋" w:hAnsi="仿宋" w:hint="eastAsia"/>
          <w:snapToGrid w:val="0"/>
          <w:kern w:val="0"/>
          <w:szCs w:val="32"/>
        </w:rPr>
        <w:t>年）。成果优秀的海外留学回国人员，资历要求可适当放宽。</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科研业绩与成果要求。中级专业技术职务任职资格实行审核制度。高级专业技术职务任职资格：学校制定研究系列专业技术职务任职资格</w:t>
      </w:r>
      <w:r>
        <w:rPr>
          <w:rFonts w:ascii="仿宋" w:hAnsi="仿宋" w:hint="eastAsia"/>
          <w:szCs w:val="32"/>
        </w:rPr>
        <w:t>指导性</w:t>
      </w:r>
      <w:r>
        <w:rPr>
          <w:rFonts w:ascii="仿宋" w:hAnsi="仿宋" w:hint="eastAsia"/>
          <w:snapToGrid w:val="0"/>
          <w:kern w:val="0"/>
          <w:szCs w:val="32"/>
        </w:rPr>
        <w:t>意见；各院系单位根据学科特点制定相应的科研业绩与成果最低申报条件，经学校审核同意后公布执行。</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lastRenderedPageBreak/>
        <w:t>停报规定。研究系列岗位专业技术职务任职资格申报应执行学校关于专业技术职务申报停报的相关规定。</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评定程序。研究系列专业技术职务任职资格评定按年度组织。高级职务任职资格评定程序如下：</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各院系单位根据研究系列队伍五年规划和年度计划向人力资源处上报需求，学校审核同意后按计划执行；</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根据院系申请，人力资源处发布申报通知并公布岗位；</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个人填报申报表格，向院系提交申报材料；</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院系组织评审。对应聘人员的师德师风、学术规范、学术水平、学术贡献和发展潜力等方面进行述职评议，确定向学校推荐的人选；推荐人选申报材料在本单位范围内的网站公示</w:t>
      </w:r>
      <w:r>
        <w:rPr>
          <w:rFonts w:ascii="仿宋" w:hAnsi="仿宋"/>
          <w:snapToGrid w:val="0"/>
          <w:kern w:val="0"/>
          <w:szCs w:val="32"/>
        </w:rPr>
        <w:t>5</w:t>
      </w:r>
      <w:r>
        <w:rPr>
          <w:rFonts w:ascii="仿宋" w:hAnsi="仿宋" w:hint="eastAsia"/>
          <w:snapToGrid w:val="0"/>
          <w:kern w:val="0"/>
          <w:szCs w:val="32"/>
        </w:rPr>
        <w:t>个工作日；经公示无异议后，按申报计划数</w:t>
      </w:r>
      <w:r>
        <w:rPr>
          <w:rFonts w:ascii="仿宋" w:hAnsi="仿宋"/>
          <w:snapToGrid w:val="0"/>
          <w:kern w:val="0"/>
          <w:szCs w:val="32"/>
        </w:rPr>
        <w:t>1</w:t>
      </w:r>
      <w:r>
        <w:rPr>
          <w:rFonts w:ascii="仿宋" w:hAnsi="仿宋" w:hint="eastAsia"/>
          <w:snapToGrid w:val="0"/>
          <w:kern w:val="0"/>
          <w:szCs w:val="32"/>
        </w:rPr>
        <w:t>∶</w:t>
      </w:r>
      <w:r>
        <w:rPr>
          <w:rFonts w:ascii="仿宋" w:hAnsi="仿宋"/>
          <w:snapToGrid w:val="0"/>
          <w:kern w:val="0"/>
          <w:szCs w:val="32"/>
        </w:rPr>
        <w:t>1</w:t>
      </w:r>
      <w:r>
        <w:rPr>
          <w:rFonts w:ascii="仿宋" w:hAnsi="仿宋" w:hint="eastAsia"/>
          <w:snapToGrid w:val="0"/>
          <w:kern w:val="0"/>
          <w:szCs w:val="32"/>
        </w:rPr>
        <w:t>向学校报送推荐候选人名单和申报材料；</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组织同行专家通讯评议；</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组织召开学科组评审会，形成推荐人选；</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学校召开专业技术职务聘任委员会会议，审议院系推荐人选，确定具备相应专业技术职务任职资格人员名单；</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名单在人力资源处网站公示</w:t>
      </w:r>
      <w:r>
        <w:rPr>
          <w:rFonts w:ascii="仿宋" w:hAnsi="仿宋"/>
          <w:snapToGrid w:val="0"/>
          <w:kern w:val="0"/>
          <w:szCs w:val="32"/>
        </w:rPr>
        <w:t>5</w:t>
      </w:r>
      <w:r>
        <w:rPr>
          <w:rFonts w:ascii="仿宋" w:hAnsi="仿宋" w:hint="eastAsia"/>
          <w:snapToGrid w:val="0"/>
          <w:kern w:val="0"/>
          <w:szCs w:val="32"/>
        </w:rPr>
        <w:t>个工作日；</w:t>
      </w:r>
    </w:p>
    <w:p w:rsidR="00112D5B" w:rsidRDefault="003B6604">
      <w:pPr>
        <w:pStyle w:val="aa"/>
        <w:numPr>
          <w:ilvl w:val="0"/>
          <w:numId w:val="5"/>
        </w:numPr>
        <w:adjustRightInd w:val="0"/>
        <w:snapToGrid w:val="0"/>
        <w:spacing w:line="480" w:lineRule="exact"/>
        <w:ind w:left="0" w:firstLine="632"/>
        <w:rPr>
          <w:rFonts w:ascii="仿宋" w:hAnsi="仿宋"/>
          <w:snapToGrid w:val="0"/>
          <w:kern w:val="0"/>
          <w:szCs w:val="32"/>
        </w:rPr>
      </w:pPr>
      <w:r>
        <w:rPr>
          <w:rFonts w:ascii="仿宋" w:hAnsi="仿宋" w:hint="eastAsia"/>
          <w:snapToGrid w:val="0"/>
          <w:kern w:val="0"/>
          <w:szCs w:val="32"/>
        </w:rPr>
        <w:t>经公示无异议后，学校发文公布。</w:t>
      </w:r>
    </w:p>
    <w:p w:rsidR="00112D5B" w:rsidRDefault="003B6604">
      <w:pPr>
        <w:adjustRightInd w:val="0"/>
        <w:snapToGrid w:val="0"/>
        <w:spacing w:line="480" w:lineRule="exact"/>
        <w:ind w:firstLineChars="200" w:firstLine="632"/>
        <w:rPr>
          <w:rFonts w:ascii="仿宋" w:eastAsia="仿宋" w:hAnsi="仿宋"/>
          <w:snapToGrid w:val="0"/>
          <w:kern w:val="0"/>
          <w:szCs w:val="32"/>
        </w:rPr>
      </w:pPr>
      <w:r>
        <w:rPr>
          <w:rFonts w:ascii="仿宋" w:eastAsia="仿宋" w:hAnsi="仿宋" w:hint="eastAsia"/>
          <w:snapToGrid w:val="0"/>
          <w:kern w:val="0"/>
          <w:szCs w:val="32"/>
        </w:rPr>
        <w:t>中级专业技术职务任职资格认定以审阅材料方式进行，可不进行同行评议和现场述职。</w:t>
      </w: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t>院系职责</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根据院系学科建设、人才培养及科学研究等任务和发展规划，做好本单位二级学科或研究方向的研究系列队伍发展规划，制定岗位使用年度计划。</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lastRenderedPageBreak/>
        <w:t>制定本单位二级学科或研究方向的研究系列各个层次人员的岗位申报标准，严格按标准和规定的程序招聘和聘任人员，不得随意降低标准。</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做好研究系列人员的日常管理，包括师德师风监督、科研工作安排、在岗情况管理等。严格按照研究系列岗位的定位，加强人员管理。研究系列人员的进出均应通过院系会议审核，慎重给出评定意见。</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hint="eastAsia"/>
          <w:snapToGrid w:val="0"/>
          <w:kern w:val="0"/>
          <w:szCs w:val="32"/>
        </w:rPr>
        <w:t>制定本单位二级学科或研究方向的研究系列各个层次人员的岗位聘期考核标准，及时按程序要求做好研究系列人员的考核工作。院系应严格把关，对于不适应岗位要求的人员应及时终止聘用关系。做好聘用研究系列人员的联系教授的跟踪管理，对于不负责任、不能做好人员日常管理的联系教授应给予暂停招收或停止招收的处理。</w:t>
      </w:r>
    </w:p>
    <w:p w:rsidR="00112D5B" w:rsidRDefault="003B6604">
      <w:pPr>
        <w:pStyle w:val="aa"/>
        <w:numPr>
          <w:ilvl w:val="0"/>
          <w:numId w:val="1"/>
        </w:numPr>
        <w:adjustRightInd w:val="0"/>
        <w:snapToGrid w:val="0"/>
        <w:spacing w:line="480" w:lineRule="exact"/>
        <w:ind w:firstLineChars="0"/>
        <w:jc w:val="left"/>
        <w:rPr>
          <w:rFonts w:ascii="黑体" w:eastAsia="黑体" w:hAnsi="黑体"/>
          <w:snapToGrid w:val="0"/>
          <w:kern w:val="0"/>
          <w:szCs w:val="32"/>
        </w:rPr>
      </w:pPr>
      <w:r>
        <w:rPr>
          <w:rFonts w:ascii="黑体" w:eastAsia="黑体" w:hAnsi="黑体" w:hint="eastAsia"/>
          <w:snapToGrid w:val="0"/>
          <w:kern w:val="0"/>
          <w:szCs w:val="32"/>
        </w:rPr>
        <w:t>附则</w:t>
      </w:r>
    </w:p>
    <w:p w:rsidR="00112D5B" w:rsidRDefault="003B6604">
      <w:pPr>
        <w:pStyle w:val="aa"/>
        <w:numPr>
          <w:ilvl w:val="0"/>
          <w:numId w:val="2"/>
        </w:numPr>
        <w:adjustRightInd w:val="0"/>
        <w:snapToGrid w:val="0"/>
        <w:spacing w:line="480" w:lineRule="exact"/>
        <w:ind w:firstLine="632"/>
        <w:rPr>
          <w:rFonts w:ascii="仿宋" w:hAnsi="仿宋"/>
          <w:snapToGrid w:val="0"/>
          <w:kern w:val="0"/>
          <w:szCs w:val="32"/>
        </w:rPr>
      </w:pPr>
      <w:r>
        <w:rPr>
          <w:rFonts w:ascii="仿宋" w:hAnsi="仿宋" w:cs="宋体" w:hint="eastAsia"/>
          <w:snapToGrid w:val="0"/>
          <w:kern w:val="0"/>
          <w:szCs w:val="32"/>
        </w:rPr>
        <w:t>本</w:t>
      </w:r>
      <w:r>
        <w:rPr>
          <w:rFonts w:ascii="仿宋" w:hAnsi="仿宋" w:hint="eastAsia"/>
          <w:snapToGrid w:val="0"/>
          <w:kern w:val="0"/>
          <w:szCs w:val="32"/>
        </w:rPr>
        <w:t>办法</w:t>
      </w:r>
      <w:r>
        <w:rPr>
          <w:rFonts w:ascii="仿宋" w:hAnsi="仿宋" w:cs="华文仿宋" w:hint="eastAsia"/>
          <w:szCs w:val="32"/>
        </w:rPr>
        <w:t>经</w:t>
      </w:r>
      <w:r>
        <w:rPr>
          <w:rFonts w:ascii="仿宋" w:hAnsi="仿宋"/>
          <w:szCs w:val="32"/>
        </w:rPr>
        <w:t>2019</w:t>
      </w:r>
      <w:r>
        <w:rPr>
          <w:rFonts w:ascii="仿宋" w:hAnsi="仿宋" w:hint="eastAsia"/>
          <w:szCs w:val="32"/>
        </w:rPr>
        <w:t>年</w:t>
      </w:r>
      <w:r>
        <w:rPr>
          <w:rFonts w:ascii="仿宋" w:hAnsi="仿宋"/>
          <w:szCs w:val="32"/>
        </w:rPr>
        <w:t>9</w:t>
      </w:r>
      <w:r>
        <w:rPr>
          <w:rFonts w:ascii="仿宋" w:hAnsi="仿宋" w:hint="eastAsia"/>
          <w:szCs w:val="32"/>
        </w:rPr>
        <w:t>月</w:t>
      </w:r>
      <w:r>
        <w:rPr>
          <w:rFonts w:ascii="仿宋" w:hAnsi="仿宋"/>
          <w:szCs w:val="32"/>
        </w:rPr>
        <w:t>5</w:t>
      </w:r>
      <w:r>
        <w:rPr>
          <w:rFonts w:ascii="仿宋" w:hAnsi="仿宋" w:hint="eastAsia"/>
          <w:szCs w:val="32"/>
        </w:rPr>
        <w:t>日学校党委</w:t>
      </w:r>
      <w:r>
        <w:rPr>
          <w:rFonts w:ascii="仿宋" w:hAnsi="仿宋"/>
          <w:szCs w:val="32"/>
        </w:rPr>
        <w:t>常委会</w:t>
      </w:r>
      <w:r>
        <w:rPr>
          <w:rFonts w:ascii="仿宋" w:hAnsi="仿宋" w:cs="华文仿宋" w:hint="eastAsia"/>
          <w:szCs w:val="32"/>
        </w:rPr>
        <w:t>审议通过，</w:t>
      </w:r>
      <w:r>
        <w:rPr>
          <w:rFonts w:ascii="仿宋" w:hAnsi="仿宋" w:cs="宋体" w:hint="eastAsia"/>
          <w:snapToGrid w:val="0"/>
          <w:kern w:val="0"/>
          <w:szCs w:val="32"/>
        </w:rPr>
        <w:t>自发布之日起执行，由人力资源处负责解释。</w:t>
      </w:r>
      <w:r>
        <w:rPr>
          <w:rFonts w:ascii="仿宋" w:hAnsi="仿宋" w:hint="eastAsia"/>
          <w:snapToGrid w:val="0"/>
          <w:kern w:val="0"/>
          <w:szCs w:val="32"/>
        </w:rPr>
        <w:t>《南京大学专职科研系列岗位聘用办法》（南字发〔</w:t>
      </w:r>
      <w:r>
        <w:rPr>
          <w:rFonts w:ascii="仿宋" w:hAnsi="仿宋"/>
          <w:snapToGrid w:val="0"/>
          <w:kern w:val="0"/>
          <w:szCs w:val="32"/>
        </w:rPr>
        <w:t>2017</w:t>
      </w:r>
      <w:r>
        <w:rPr>
          <w:rFonts w:ascii="仿宋" w:hAnsi="仿宋" w:hint="eastAsia"/>
          <w:snapToGrid w:val="0"/>
          <w:kern w:val="0"/>
          <w:szCs w:val="32"/>
        </w:rPr>
        <w:t>〕</w:t>
      </w:r>
      <w:r>
        <w:rPr>
          <w:rFonts w:ascii="仿宋" w:hAnsi="仿宋"/>
          <w:snapToGrid w:val="0"/>
          <w:kern w:val="0"/>
          <w:szCs w:val="32"/>
        </w:rPr>
        <w:t>21</w:t>
      </w:r>
      <w:r>
        <w:rPr>
          <w:rFonts w:ascii="仿宋" w:hAnsi="仿宋" w:hint="eastAsia"/>
          <w:snapToGrid w:val="0"/>
          <w:kern w:val="0"/>
          <w:szCs w:val="32"/>
        </w:rPr>
        <w:t>号）与《南京大学博士后经费管理办法（修订）》（南字发〔</w:t>
      </w:r>
      <w:r>
        <w:rPr>
          <w:rFonts w:ascii="仿宋" w:hAnsi="仿宋"/>
          <w:snapToGrid w:val="0"/>
          <w:kern w:val="0"/>
          <w:szCs w:val="32"/>
        </w:rPr>
        <w:t>2013</w:t>
      </w:r>
      <w:r>
        <w:rPr>
          <w:rFonts w:ascii="仿宋" w:hAnsi="仿宋" w:hint="eastAsia"/>
          <w:snapToGrid w:val="0"/>
          <w:kern w:val="0"/>
          <w:szCs w:val="32"/>
        </w:rPr>
        <w:t>〕</w:t>
      </w:r>
      <w:r>
        <w:rPr>
          <w:rFonts w:ascii="仿宋" w:hAnsi="仿宋"/>
          <w:snapToGrid w:val="0"/>
          <w:kern w:val="0"/>
          <w:szCs w:val="32"/>
        </w:rPr>
        <w:t>127</w:t>
      </w:r>
      <w:r>
        <w:rPr>
          <w:rFonts w:ascii="仿宋" w:hAnsi="仿宋" w:hint="eastAsia"/>
          <w:snapToGrid w:val="0"/>
          <w:kern w:val="0"/>
          <w:szCs w:val="32"/>
        </w:rPr>
        <w:t>号）同时废止。</w:t>
      </w:r>
    </w:p>
    <w:p w:rsidR="00112D5B" w:rsidRDefault="00112D5B">
      <w:pPr>
        <w:adjustRightInd w:val="0"/>
        <w:snapToGrid w:val="0"/>
        <w:spacing w:line="480" w:lineRule="exact"/>
        <w:rPr>
          <w:rFonts w:ascii="仿宋" w:eastAsia="仿宋" w:hAnsi="仿宋"/>
          <w:snapToGrid w:val="0"/>
          <w:kern w:val="0"/>
          <w:szCs w:val="32"/>
        </w:rPr>
      </w:pPr>
    </w:p>
    <w:p w:rsidR="00112D5B" w:rsidRPr="00471E10" w:rsidRDefault="003B6604">
      <w:pPr>
        <w:adjustRightInd w:val="0"/>
        <w:snapToGrid w:val="0"/>
        <w:spacing w:line="480" w:lineRule="exact"/>
        <w:ind w:firstLineChars="200" w:firstLine="632"/>
        <w:rPr>
          <w:rFonts w:ascii="仿宋" w:eastAsia="仿宋" w:hAnsi="仿宋"/>
          <w:bCs/>
          <w:szCs w:val="32"/>
        </w:rPr>
      </w:pPr>
      <w:r>
        <w:rPr>
          <w:rFonts w:ascii="仿宋" w:eastAsia="仿宋" w:hAnsi="仿宋" w:hint="eastAsia"/>
          <w:szCs w:val="32"/>
        </w:rPr>
        <w:t>附表：研究系列人员拟聘岗位与薪酬标准</w:t>
      </w:r>
      <w:bookmarkStart w:id="7" w:name="_Toc9852676"/>
      <w:bookmarkEnd w:id="7"/>
    </w:p>
    <w:p w:rsidR="00112D5B" w:rsidRDefault="003B6604">
      <w:pPr>
        <w:autoSpaceDE w:val="0"/>
        <w:autoSpaceDN w:val="0"/>
        <w:adjustRightInd w:val="0"/>
        <w:snapToGrid w:val="0"/>
        <w:spacing w:line="520" w:lineRule="exact"/>
        <w:rPr>
          <w:rFonts w:ascii="仿宋_GB2312" w:cs="仿宋_GB2312"/>
          <w:color w:val="000000"/>
          <w:kern w:val="0"/>
          <w:szCs w:val="32"/>
        </w:rPr>
      </w:pPr>
      <w:r>
        <w:rPr>
          <w:rFonts w:ascii="仿宋_GB2312" w:cs="仿宋_GB2312" w:hint="eastAsia"/>
          <w:color w:val="000000"/>
          <w:kern w:val="0"/>
          <w:szCs w:val="32"/>
        </w:rPr>
        <w:t xml:space="preserve"> </w:t>
      </w:r>
    </w:p>
    <w:p w:rsidR="00112D5B" w:rsidRDefault="00112D5B">
      <w:pPr>
        <w:autoSpaceDE w:val="0"/>
        <w:autoSpaceDN w:val="0"/>
        <w:adjustRightInd w:val="0"/>
        <w:snapToGrid w:val="0"/>
        <w:spacing w:line="520" w:lineRule="exact"/>
        <w:rPr>
          <w:rFonts w:ascii="仿宋_GB2312" w:cs="仿宋_GB2312"/>
          <w:color w:val="000000"/>
          <w:kern w:val="0"/>
          <w:szCs w:val="32"/>
        </w:rPr>
      </w:pPr>
    </w:p>
    <w:p w:rsidR="00112D5B" w:rsidRDefault="00112D5B">
      <w:pPr>
        <w:spacing w:line="440" w:lineRule="exact"/>
        <w:rPr>
          <w:rFonts w:ascii="仿宋" w:eastAsia="仿宋" w:hAnsi="仿宋" w:cs="仿宋_GB2312"/>
          <w:color w:val="000000"/>
          <w:kern w:val="0"/>
          <w:szCs w:val="32"/>
        </w:rPr>
      </w:pPr>
    </w:p>
    <w:p w:rsidR="00112D5B" w:rsidRDefault="00112D5B">
      <w:pPr>
        <w:spacing w:line="440" w:lineRule="exact"/>
        <w:rPr>
          <w:rFonts w:ascii="仿宋" w:eastAsia="仿宋" w:hAnsi="仿宋"/>
        </w:rPr>
      </w:pPr>
    </w:p>
    <w:p w:rsidR="00112D5B" w:rsidRDefault="00112D5B">
      <w:pPr>
        <w:spacing w:line="440" w:lineRule="exact"/>
        <w:rPr>
          <w:rFonts w:ascii="仿宋" w:eastAsia="仿宋" w:hAnsi="仿宋"/>
        </w:rPr>
      </w:pPr>
    </w:p>
    <w:tbl>
      <w:tblPr>
        <w:tblpPr w:leftFromText="180" w:rightFromText="180" w:vertAnchor="text" w:horzAnchor="margin" w:tblpXSpec="center" w:tblpY="301"/>
        <w:tblW w:w="8323" w:type="dxa"/>
        <w:tblBorders>
          <w:top w:val="single" w:sz="4" w:space="0" w:color="auto"/>
          <w:bottom w:val="single" w:sz="8" w:space="0" w:color="auto"/>
          <w:insideH w:val="single" w:sz="8" w:space="0" w:color="auto"/>
        </w:tblBorders>
        <w:tblLayout w:type="fixed"/>
        <w:tblLook w:val="04A0" w:firstRow="1" w:lastRow="0" w:firstColumn="1" w:lastColumn="0" w:noHBand="0" w:noVBand="1"/>
      </w:tblPr>
      <w:tblGrid>
        <w:gridCol w:w="8323"/>
      </w:tblGrid>
      <w:tr w:rsidR="00112D5B">
        <w:trPr>
          <w:trHeight w:val="440"/>
        </w:trPr>
        <w:tc>
          <w:tcPr>
            <w:tcW w:w="8323" w:type="dxa"/>
            <w:tcBorders>
              <w:top w:val="single" w:sz="8" w:space="0" w:color="auto"/>
              <w:bottom w:val="single" w:sz="8" w:space="0" w:color="auto"/>
            </w:tcBorders>
            <w:vAlign w:val="center"/>
          </w:tcPr>
          <w:p w:rsidR="00112D5B" w:rsidRDefault="003B6604">
            <w:pPr>
              <w:spacing w:line="440" w:lineRule="exact"/>
              <w:ind w:firstLineChars="100" w:firstLine="276"/>
              <w:rPr>
                <w:rFonts w:ascii="仿宋" w:eastAsia="仿宋" w:hAnsi="仿宋"/>
                <w:kern w:val="0"/>
                <w:sz w:val="28"/>
                <w:szCs w:val="28"/>
              </w:rPr>
            </w:pPr>
            <w:r>
              <w:rPr>
                <w:rFonts w:ascii="仿宋" w:eastAsia="仿宋" w:hAnsi="仿宋" w:hint="eastAsia"/>
                <w:kern w:val="0"/>
                <w:sz w:val="28"/>
                <w:szCs w:val="28"/>
              </w:rPr>
              <w:t>南京大学校长办公室</w:t>
            </w:r>
            <w:r>
              <w:rPr>
                <w:rFonts w:ascii="仿宋" w:eastAsia="仿宋" w:hAnsi="仿宋" w:hint="eastAsia"/>
                <w:color w:val="0000FF"/>
                <w:kern w:val="0"/>
                <w:sz w:val="28"/>
                <w:szCs w:val="28"/>
              </w:rPr>
              <w:t xml:space="preserve">                   </w:t>
            </w:r>
            <w:bookmarkStart w:id="8" w:name="印发日期"/>
            <w:r>
              <w:rPr>
                <w:rFonts w:ascii="仿宋" w:eastAsia="仿宋" w:hAnsi="仿宋"/>
                <w:kern w:val="0"/>
                <w:sz w:val="28"/>
                <w:szCs w:val="28"/>
              </w:rPr>
              <w:t>2019年9月24日</w:t>
            </w:r>
            <w:bookmarkEnd w:id="8"/>
            <w:r>
              <w:rPr>
                <w:rFonts w:ascii="仿宋" w:eastAsia="仿宋" w:hAnsi="仿宋" w:hint="eastAsia"/>
                <w:kern w:val="0"/>
                <w:sz w:val="28"/>
                <w:szCs w:val="28"/>
              </w:rPr>
              <w:t>印发</w:t>
            </w:r>
          </w:p>
        </w:tc>
      </w:tr>
    </w:tbl>
    <w:p w:rsidR="00112D5B" w:rsidRDefault="00112D5B">
      <w:pPr>
        <w:spacing w:line="20" w:lineRule="exact"/>
        <w:rPr>
          <w:rFonts w:ascii="方正小标宋简体" w:eastAsia="方正小标宋简体"/>
          <w:sz w:val="44"/>
          <w:szCs w:val="44"/>
        </w:rPr>
      </w:pPr>
    </w:p>
    <w:sectPr w:rsidR="00112D5B">
      <w:headerReference w:type="even" r:id="rId9"/>
      <w:headerReference w:type="default" r:id="rId10"/>
      <w:footerReference w:type="even" r:id="rId11"/>
      <w:footerReference w:type="default" r:id="rId12"/>
      <w:footerReference w:type="first" r:id="rId13"/>
      <w:pgSz w:w="11907" w:h="16840"/>
      <w:pgMar w:top="1440" w:right="1797" w:bottom="1440" w:left="1797" w:header="851" w:footer="1588"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696" w:rsidRDefault="00201696">
      <w:r>
        <w:separator/>
      </w:r>
    </w:p>
  </w:endnote>
  <w:endnote w:type="continuationSeparator" w:id="0">
    <w:p w:rsidR="00201696" w:rsidRDefault="00201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长城小标宋体">
    <w:altName w:val="宋体"/>
    <w:charset w:val="86"/>
    <w:family w:val="modern"/>
    <w:pitch w:val="default"/>
    <w:sig w:usb0="00000000" w:usb1="0000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D5B" w:rsidRDefault="003B6604">
    <w:pPr>
      <w:pStyle w:val="a6"/>
      <w:framePr w:wrap="around" w:vAnchor="text" w:hAnchor="margin" w:xAlign="outside" w:y="1"/>
      <w:ind w:firstLineChars="100" w:firstLine="280"/>
      <w:rPr>
        <w:rStyle w:val="a9"/>
        <w:sz w:val="28"/>
      </w:rPr>
    </w:pPr>
    <w:r>
      <w:rPr>
        <w:rStyle w:val="a9"/>
        <w:rFonts w:hint="eastAsia"/>
        <w:sz w:val="28"/>
      </w:rPr>
      <w:t>—</w:t>
    </w:r>
    <w:r>
      <w:rPr>
        <w:rStyle w:val="a9"/>
        <w:rFonts w:ascii="宋体" w:eastAsia="宋体" w:hAnsi="宋体"/>
        <w:sz w:val="28"/>
      </w:rPr>
      <w:fldChar w:fldCharType="begin"/>
    </w:r>
    <w:r>
      <w:rPr>
        <w:rStyle w:val="a9"/>
        <w:rFonts w:ascii="宋体" w:eastAsia="宋体" w:hAnsi="宋体"/>
        <w:sz w:val="28"/>
      </w:rPr>
      <w:instrText xml:space="preserve">PAGE  </w:instrText>
    </w:r>
    <w:r>
      <w:rPr>
        <w:rStyle w:val="a9"/>
        <w:rFonts w:ascii="宋体" w:eastAsia="宋体" w:hAnsi="宋体"/>
        <w:sz w:val="28"/>
      </w:rPr>
      <w:fldChar w:fldCharType="separate"/>
    </w:r>
    <w:r w:rsidR="00471E10">
      <w:rPr>
        <w:rStyle w:val="a9"/>
        <w:rFonts w:ascii="宋体" w:eastAsia="宋体" w:hAnsi="宋体"/>
        <w:noProof/>
        <w:sz w:val="28"/>
      </w:rPr>
      <w:t>2</w:t>
    </w:r>
    <w:r>
      <w:rPr>
        <w:rStyle w:val="a9"/>
        <w:rFonts w:ascii="宋体" w:eastAsia="宋体" w:hAnsi="宋体"/>
        <w:sz w:val="28"/>
      </w:rPr>
      <w:fldChar w:fldCharType="end"/>
    </w:r>
    <w:r>
      <w:rPr>
        <w:rStyle w:val="a9"/>
        <w:rFonts w:hint="eastAsia"/>
        <w:sz w:val="28"/>
      </w:rPr>
      <w:t>—</w:t>
    </w:r>
  </w:p>
  <w:p w:rsidR="00112D5B" w:rsidRDefault="00112D5B">
    <w:pPr>
      <w:pStyle w:val="a6"/>
      <w:framePr w:wrap="around" w:vAnchor="text" w:hAnchor="margin" w:xAlign="outside" w:y="1"/>
      <w:rPr>
        <w:rStyle w:val="a9"/>
      </w:rPr>
    </w:pPr>
  </w:p>
  <w:p w:rsidR="00112D5B" w:rsidRDefault="00112D5B">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D5B" w:rsidRDefault="003B6604">
    <w:pPr>
      <w:pStyle w:val="a6"/>
      <w:framePr w:wrap="around" w:vAnchor="text" w:hAnchor="page" w:x="9272" w:y="31"/>
      <w:rPr>
        <w:rStyle w:val="a9"/>
        <w:rFonts w:ascii="宋体" w:eastAsia="宋体" w:hAnsi="宋体"/>
        <w:sz w:val="28"/>
      </w:rPr>
    </w:pPr>
    <w:r>
      <w:rPr>
        <w:rStyle w:val="a9"/>
        <w:rFonts w:ascii="宋体" w:eastAsia="宋体" w:hAnsi="宋体" w:hint="eastAsia"/>
        <w:sz w:val="28"/>
      </w:rPr>
      <w:t>—</w:t>
    </w:r>
    <w:r>
      <w:rPr>
        <w:rStyle w:val="a9"/>
        <w:rFonts w:ascii="宋体" w:eastAsia="宋体" w:hAnsi="宋体"/>
        <w:sz w:val="28"/>
      </w:rPr>
      <w:fldChar w:fldCharType="begin"/>
    </w:r>
    <w:r>
      <w:rPr>
        <w:rStyle w:val="a9"/>
        <w:rFonts w:ascii="宋体" w:eastAsia="宋体" w:hAnsi="宋体"/>
        <w:sz w:val="28"/>
      </w:rPr>
      <w:instrText xml:space="preserve">PAGE  </w:instrText>
    </w:r>
    <w:r>
      <w:rPr>
        <w:rStyle w:val="a9"/>
        <w:rFonts w:ascii="宋体" w:eastAsia="宋体" w:hAnsi="宋体"/>
        <w:sz w:val="28"/>
      </w:rPr>
      <w:fldChar w:fldCharType="separate"/>
    </w:r>
    <w:r w:rsidR="00471E10">
      <w:rPr>
        <w:rStyle w:val="a9"/>
        <w:rFonts w:ascii="宋体" w:eastAsia="宋体" w:hAnsi="宋体"/>
        <w:noProof/>
        <w:sz w:val="28"/>
      </w:rPr>
      <w:t>1</w:t>
    </w:r>
    <w:r>
      <w:rPr>
        <w:rStyle w:val="a9"/>
        <w:rFonts w:ascii="宋体" w:eastAsia="宋体" w:hAnsi="宋体"/>
        <w:sz w:val="28"/>
      </w:rPr>
      <w:fldChar w:fldCharType="end"/>
    </w:r>
    <w:r>
      <w:rPr>
        <w:rStyle w:val="a9"/>
        <w:rFonts w:ascii="宋体" w:eastAsia="宋体" w:hAnsi="宋体" w:hint="eastAsia"/>
        <w:sz w:val="28"/>
      </w:rPr>
      <w:t>—</w:t>
    </w:r>
  </w:p>
  <w:p w:rsidR="00112D5B" w:rsidRDefault="00112D5B">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D5B" w:rsidRDefault="00112D5B">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696" w:rsidRDefault="00201696">
      <w:r>
        <w:separator/>
      </w:r>
    </w:p>
  </w:footnote>
  <w:footnote w:type="continuationSeparator" w:id="0">
    <w:p w:rsidR="00201696" w:rsidRDefault="00201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D5B" w:rsidRDefault="00112D5B">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D5B" w:rsidRDefault="00112D5B">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064E2"/>
    <w:multiLevelType w:val="multilevel"/>
    <w:tmpl w:val="172064E2"/>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 w15:restartNumberingAfterBreak="0">
    <w:nsid w:val="38654C9C"/>
    <w:multiLevelType w:val="multilevel"/>
    <w:tmpl w:val="38654C9C"/>
    <w:lvl w:ilvl="0">
      <w:start w:val="1"/>
      <w:numFmt w:val="chineseCountingThousand"/>
      <w:suff w:val="space"/>
      <w:lvlText w:val="第%1条"/>
      <w:lvlJc w:val="left"/>
      <w:pPr>
        <w:ind w:left="0" w:firstLine="0"/>
      </w:pPr>
      <w:rPr>
        <w:rFonts w:cs="Times New Roman" w:hint="default"/>
        <w:b w:val="0"/>
      </w:rPr>
    </w:lvl>
    <w:lvl w:ilvl="1">
      <w:start w:val="1"/>
      <w:numFmt w:val="chineseCountingThousand"/>
      <w:suff w:val="nothing"/>
      <w:lvlText w:val="（%2）"/>
      <w:lvlJc w:val="left"/>
      <w:pPr>
        <w:ind w:left="1702" w:hanging="720"/>
      </w:pPr>
      <w:rPr>
        <w:rFonts w:cs="Times New Roman" w:hint="default"/>
        <w:color w:val="auto"/>
      </w:rPr>
    </w:lvl>
    <w:lvl w:ilvl="2">
      <w:start w:val="1"/>
      <w:numFmt w:val="lowerRoman"/>
      <w:lvlText w:val="%3."/>
      <w:lvlJc w:val="right"/>
      <w:pPr>
        <w:ind w:left="1822" w:hanging="420"/>
      </w:pPr>
      <w:rPr>
        <w:rFonts w:cs="Times New Roman" w:hint="eastAsia"/>
      </w:rPr>
    </w:lvl>
    <w:lvl w:ilvl="3">
      <w:start w:val="1"/>
      <w:numFmt w:val="decimal"/>
      <w:lvlText w:val="%4."/>
      <w:lvlJc w:val="left"/>
      <w:pPr>
        <w:ind w:left="2242" w:hanging="420"/>
      </w:pPr>
      <w:rPr>
        <w:rFonts w:cs="Times New Roman" w:hint="eastAsia"/>
      </w:rPr>
    </w:lvl>
    <w:lvl w:ilvl="4">
      <w:start w:val="1"/>
      <w:numFmt w:val="lowerLetter"/>
      <w:lvlText w:val="%5)"/>
      <w:lvlJc w:val="left"/>
      <w:pPr>
        <w:ind w:left="2662" w:hanging="420"/>
      </w:pPr>
      <w:rPr>
        <w:rFonts w:cs="Times New Roman" w:hint="eastAsia"/>
      </w:rPr>
    </w:lvl>
    <w:lvl w:ilvl="5">
      <w:start w:val="1"/>
      <w:numFmt w:val="lowerRoman"/>
      <w:lvlText w:val="%6."/>
      <w:lvlJc w:val="right"/>
      <w:pPr>
        <w:ind w:left="3082" w:hanging="420"/>
      </w:pPr>
      <w:rPr>
        <w:rFonts w:cs="Times New Roman" w:hint="eastAsia"/>
      </w:rPr>
    </w:lvl>
    <w:lvl w:ilvl="6">
      <w:start w:val="1"/>
      <w:numFmt w:val="decimal"/>
      <w:lvlText w:val="%7."/>
      <w:lvlJc w:val="left"/>
      <w:pPr>
        <w:ind w:left="3502" w:hanging="420"/>
      </w:pPr>
      <w:rPr>
        <w:rFonts w:cs="Times New Roman" w:hint="eastAsia"/>
      </w:rPr>
    </w:lvl>
    <w:lvl w:ilvl="7">
      <w:start w:val="1"/>
      <w:numFmt w:val="lowerLetter"/>
      <w:lvlText w:val="%8)"/>
      <w:lvlJc w:val="left"/>
      <w:pPr>
        <w:ind w:left="3922" w:hanging="420"/>
      </w:pPr>
      <w:rPr>
        <w:rFonts w:cs="Times New Roman" w:hint="eastAsia"/>
      </w:rPr>
    </w:lvl>
    <w:lvl w:ilvl="8">
      <w:start w:val="1"/>
      <w:numFmt w:val="lowerRoman"/>
      <w:lvlText w:val="%9."/>
      <w:lvlJc w:val="right"/>
      <w:pPr>
        <w:ind w:left="4342" w:hanging="420"/>
      </w:pPr>
      <w:rPr>
        <w:rFonts w:cs="Times New Roman" w:hint="eastAsia"/>
      </w:rPr>
    </w:lvl>
  </w:abstractNum>
  <w:abstractNum w:abstractNumId="2" w15:restartNumberingAfterBreak="0">
    <w:nsid w:val="4C56B39A"/>
    <w:multiLevelType w:val="singleLevel"/>
    <w:tmpl w:val="4C56B39A"/>
    <w:lvl w:ilvl="0">
      <w:start w:val="1"/>
      <w:numFmt w:val="decimal"/>
      <w:suff w:val="nothing"/>
      <w:lvlText w:val="%1．"/>
      <w:lvlJc w:val="left"/>
      <w:pPr>
        <w:ind w:left="0" w:firstLine="400"/>
      </w:pPr>
      <w:rPr>
        <w:rFonts w:hint="default"/>
      </w:rPr>
    </w:lvl>
  </w:abstractNum>
  <w:abstractNum w:abstractNumId="3" w15:restartNumberingAfterBreak="0">
    <w:nsid w:val="5E1D546E"/>
    <w:multiLevelType w:val="multilevel"/>
    <w:tmpl w:val="5E1D546E"/>
    <w:lvl w:ilvl="0">
      <w:start w:val="1"/>
      <w:numFmt w:val="chineseCounting"/>
      <w:lvlText w:val="（%1）"/>
      <w:lvlJc w:val="left"/>
      <w:pPr>
        <w:ind w:left="1723" w:hanging="1080"/>
      </w:pPr>
      <w:rPr>
        <w:rFonts w:cs="Times New Roman" w:hint="eastAsia"/>
      </w:rPr>
    </w:lvl>
    <w:lvl w:ilvl="1">
      <w:start w:val="1"/>
      <w:numFmt w:val="japaneseCounting"/>
      <w:lvlText w:val="（%2）"/>
      <w:lvlJc w:val="left"/>
      <w:pPr>
        <w:ind w:left="2143" w:hanging="1080"/>
      </w:pPr>
      <w:rPr>
        <w:rFonts w:hint="default"/>
      </w:r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4" w15:restartNumberingAfterBreak="0">
    <w:nsid w:val="65F7789F"/>
    <w:multiLevelType w:val="multilevel"/>
    <w:tmpl w:val="65F7789F"/>
    <w:lvl w:ilvl="0">
      <w:start w:val="1"/>
      <w:numFmt w:val="chineseCountingThousand"/>
      <w:suff w:val="nothing"/>
      <w:lvlText w:val="（%1）"/>
      <w:lvlJc w:val="left"/>
      <w:pPr>
        <w:ind w:left="957" w:hanging="390"/>
      </w:pPr>
      <w:rPr>
        <w:rFonts w:cs="Times New Roman" w:hint="default"/>
      </w:rPr>
    </w:lvl>
    <w:lvl w:ilvl="1">
      <w:start w:val="1"/>
      <w:numFmt w:val="chineseCountingThousand"/>
      <w:suff w:val="space"/>
      <w:lvlText w:val="第%2条"/>
      <w:lvlJc w:val="left"/>
      <w:pPr>
        <w:ind w:left="2292" w:hanging="1305"/>
      </w:pPr>
      <w:rPr>
        <w:rFonts w:cs="Times New Roman" w:hint="eastAsia"/>
        <w:b w:val="0"/>
        <w:i w:val="0"/>
      </w:rPr>
    </w:lvl>
    <w:lvl w:ilvl="2">
      <w:start w:val="1"/>
      <w:numFmt w:val="lowerRoman"/>
      <w:lvlText w:val="%3."/>
      <w:lvlJc w:val="right"/>
      <w:pPr>
        <w:ind w:left="1827" w:hanging="420"/>
      </w:pPr>
      <w:rPr>
        <w:rFonts w:cs="Times New Roman" w:hint="eastAsia"/>
      </w:rPr>
    </w:lvl>
    <w:lvl w:ilvl="3">
      <w:start w:val="1"/>
      <w:numFmt w:val="decimal"/>
      <w:lvlText w:val="%4."/>
      <w:lvlJc w:val="left"/>
      <w:pPr>
        <w:ind w:left="2247" w:hanging="420"/>
      </w:pPr>
      <w:rPr>
        <w:rFonts w:cs="Times New Roman" w:hint="eastAsia"/>
      </w:rPr>
    </w:lvl>
    <w:lvl w:ilvl="4">
      <w:start w:val="1"/>
      <w:numFmt w:val="lowerLetter"/>
      <w:lvlText w:val="%5)"/>
      <w:lvlJc w:val="left"/>
      <w:pPr>
        <w:ind w:left="2667" w:hanging="420"/>
      </w:pPr>
      <w:rPr>
        <w:rFonts w:cs="Times New Roman" w:hint="eastAsia"/>
      </w:rPr>
    </w:lvl>
    <w:lvl w:ilvl="5">
      <w:start w:val="1"/>
      <w:numFmt w:val="lowerRoman"/>
      <w:lvlText w:val="%6."/>
      <w:lvlJc w:val="right"/>
      <w:pPr>
        <w:ind w:left="3087" w:hanging="420"/>
      </w:pPr>
      <w:rPr>
        <w:rFonts w:cs="Times New Roman" w:hint="eastAsia"/>
      </w:rPr>
    </w:lvl>
    <w:lvl w:ilvl="6">
      <w:start w:val="1"/>
      <w:numFmt w:val="decimal"/>
      <w:lvlText w:val="%7."/>
      <w:lvlJc w:val="left"/>
      <w:pPr>
        <w:ind w:left="3507" w:hanging="420"/>
      </w:pPr>
      <w:rPr>
        <w:rFonts w:cs="Times New Roman" w:hint="eastAsia"/>
      </w:rPr>
    </w:lvl>
    <w:lvl w:ilvl="7">
      <w:start w:val="1"/>
      <w:numFmt w:val="lowerLetter"/>
      <w:lvlText w:val="%8)"/>
      <w:lvlJc w:val="left"/>
      <w:pPr>
        <w:ind w:left="3927" w:hanging="420"/>
      </w:pPr>
      <w:rPr>
        <w:rFonts w:cs="Times New Roman" w:hint="eastAsia"/>
      </w:rPr>
    </w:lvl>
    <w:lvl w:ilvl="8">
      <w:start w:val="1"/>
      <w:numFmt w:val="lowerRoman"/>
      <w:lvlText w:val="%9."/>
      <w:lvlJc w:val="right"/>
      <w:pPr>
        <w:ind w:left="4347" w:hanging="420"/>
      </w:pPr>
      <w:rPr>
        <w:rFonts w:cs="Times New Roman" w:hint="eastAsia"/>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F7"/>
    <w:rsid w:val="0000197B"/>
    <w:rsid w:val="00003A24"/>
    <w:rsid w:val="000321E9"/>
    <w:rsid w:val="000375EE"/>
    <w:rsid w:val="00037F3C"/>
    <w:rsid w:val="00041F19"/>
    <w:rsid w:val="0005082C"/>
    <w:rsid w:val="00055222"/>
    <w:rsid w:val="00061EF8"/>
    <w:rsid w:val="00065922"/>
    <w:rsid w:val="00065D4A"/>
    <w:rsid w:val="00081FBC"/>
    <w:rsid w:val="000A1CC8"/>
    <w:rsid w:val="000A5974"/>
    <w:rsid w:val="000A71E0"/>
    <w:rsid w:val="000C44B1"/>
    <w:rsid w:val="000C710C"/>
    <w:rsid w:val="000D09F2"/>
    <w:rsid w:val="000D2795"/>
    <w:rsid w:val="001004B1"/>
    <w:rsid w:val="00112D5B"/>
    <w:rsid w:val="00113339"/>
    <w:rsid w:val="00122801"/>
    <w:rsid w:val="001303C2"/>
    <w:rsid w:val="001403CC"/>
    <w:rsid w:val="001539C6"/>
    <w:rsid w:val="00157A5D"/>
    <w:rsid w:val="001858CF"/>
    <w:rsid w:val="00185E36"/>
    <w:rsid w:val="001901E4"/>
    <w:rsid w:val="0019283C"/>
    <w:rsid w:val="00194D5F"/>
    <w:rsid w:val="00195A7A"/>
    <w:rsid w:val="001C05E5"/>
    <w:rsid w:val="001D4740"/>
    <w:rsid w:val="001D4D8B"/>
    <w:rsid w:val="001F390A"/>
    <w:rsid w:val="00201696"/>
    <w:rsid w:val="00202973"/>
    <w:rsid w:val="00226E60"/>
    <w:rsid w:val="00231551"/>
    <w:rsid w:val="002474BE"/>
    <w:rsid w:val="00256F96"/>
    <w:rsid w:val="00261A59"/>
    <w:rsid w:val="00266437"/>
    <w:rsid w:val="00266AC2"/>
    <w:rsid w:val="00267611"/>
    <w:rsid w:val="00283000"/>
    <w:rsid w:val="0028448F"/>
    <w:rsid w:val="002846AA"/>
    <w:rsid w:val="002957B7"/>
    <w:rsid w:val="002B0626"/>
    <w:rsid w:val="002B76F1"/>
    <w:rsid w:val="002C6AE6"/>
    <w:rsid w:val="002E34F6"/>
    <w:rsid w:val="002F44EA"/>
    <w:rsid w:val="00301E82"/>
    <w:rsid w:val="00316BD8"/>
    <w:rsid w:val="0032385B"/>
    <w:rsid w:val="003255D2"/>
    <w:rsid w:val="003257D4"/>
    <w:rsid w:val="003371EC"/>
    <w:rsid w:val="00356018"/>
    <w:rsid w:val="00384A17"/>
    <w:rsid w:val="00387E58"/>
    <w:rsid w:val="00392304"/>
    <w:rsid w:val="00393EE8"/>
    <w:rsid w:val="00397071"/>
    <w:rsid w:val="0039798A"/>
    <w:rsid w:val="003B17DA"/>
    <w:rsid w:val="003B2E95"/>
    <w:rsid w:val="003B6604"/>
    <w:rsid w:val="003D2F97"/>
    <w:rsid w:val="003F2F72"/>
    <w:rsid w:val="003F4F3F"/>
    <w:rsid w:val="004079A2"/>
    <w:rsid w:val="00407D21"/>
    <w:rsid w:val="004127C2"/>
    <w:rsid w:val="00434A99"/>
    <w:rsid w:val="00437E1F"/>
    <w:rsid w:val="004520F6"/>
    <w:rsid w:val="004612CF"/>
    <w:rsid w:val="00461888"/>
    <w:rsid w:val="0046300E"/>
    <w:rsid w:val="00471D21"/>
    <w:rsid w:val="00471E10"/>
    <w:rsid w:val="00482C62"/>
    <w:rsid w:val="00483285"/>
    <w:rsid w:val="004945A2"/>
    <w:rsid w:val="004B383B"/>
    <w:rsid w:val="004B6D7D"/>
    <w:rsid w:val="004D29A1"/>
    <w:rsid w:val="004E235F"/>
    <w:rsid w:val="004F5A13"/>
    <w:rsid w:val="004F67C8"/>
    <w:rsid w:val="00500A85"/>
    <w:rsid w:val="00501AE2"/>
    <w:rsid w:val="005039C8"/>
    <w:rsid w:val="0050690E"/>
    <w:rsid w:val="00511082"/>
    <w:rsid w:val="00516D07"/>
    <w:rsid w:val="00525C22"/>
    <w:rsid w:val="00534AE3"/>
    <w:rsid w:val="00534E49"/>
    <w:rsid w:val="00535C02"/>
    <w:rsid w:val="005554B3"/>
    <w:rsid w:val="0055555A"/>
    <w:rsid w:val="00561910"/>
    <w:rsid w:val="005671F9"/>
    <w:rsid w:val="0057053D"/>
    <w:rsid w:val="00570C66"/>
    <w:rsid w:val="005921D0"/>
    <w:rsid w:val="005A472C"/>
    <w:rsid w:val="005C19DC"/>
    <w:rsid w:val="005C3C5F"/>
    <w:rsid w:val="005C439B"/>
    <w:rsid w:val="005D3324"/>
    <w:rsid w:val="005F0243"/>
    <w:rsid w:val="005F13D6"/>
    <w:rsid w:val="00607975"/>
    <w:rsid w:val="00627991"/>
    <w:rsid w:val="00641FD7"/>
    <w:rsid w:val="006520F7"/>
    <w:rsid w:val="00667AF8"/>
    <w:rsid w:val="00674686"/>
    <w:rsid w:val="006B5568"/>
    <w:rsid w:val="006E06B6"/>
    <w:rsid w:val="006F7468"/>
    <w:rsid w:val="0070675B"/>
    <w:rsid w:val="00714B74"/>
    <w:rsid w:val="0071761C"/>
    <w:rsid w:val="00723D93"/>
    <w:rsid w:val="00727405"/>
    <w:rsid w:val="0073125B"/>
    <w:rsid w:val="0073456F"/>
    <w:rsid w:val="00746352"/>
    <w:rsid w:val="0079007C"/>
    <w:rsid w:val="007932A2"/>
    <w:rsid w:val="0079395B"/>
    <w:rsid w:val="007A39E1"/>
    <w:rsid w:val="007A3C6E"/>
    <w:rsid w:val="007B5872"/>
    <w:rsid w:val="007E3D13"/>
    <w:rsid w:val="00850DB2"/>
    <w:rsid w:val="00856A39"/>
    <w:rsid w:val="00874A4B"/>
    <w:rsid w:val="008A1F80"/>
    <w:rsid w:val="008A4034"/>
    <w:rsid w:val="008B6149"/>
    <w:rsid w:val="008E0642"/>
    <w:rsid w:val="008E3BB0"/>
    <w:rsid w:val="008F0683"/>
    <w:rsid w:val="009021ED"/>
    <w:rsid w:val="00914952"/>
    <w:rsid w:val="00916CE6"/>
    <w:rsid w:val="00946333"/>
    <w:rsid w:val="00951B39"/>
    <w:rsid w:val="0095632E"/>
    <w:rsid w:val="009657A6"/>
    <w:rsid w:val="009948DB"/>
    <w:rsid w:val="009A636D"/>
    <w:rsid w:val="009B183E"/>
    <w:rsid w:val="009B7257"/>
    <w:rsid w:val="009E0F57"/>
    <w:rsid w:val="009E259F"/>
    <w:rsid w:val="009F7A3C"/>
    <w:rsid w:val="00A06B23"/>
    <w:rsid w:val="00A1234D"/>
    <w:rsid w:val="00A139C8"/>
    <w:rsid w:val="00A17972"/>
    <w:rsid w:val="00A21F6C"/>
    <w:rsid w:val="00A513C8"/>
    <w:rsid w:val="00A57F28"/>
    <w:rsid w:val="00A73BF4"/>
    <w:rsid w:val="00A8124C"/>
    <w:rsid w:val="00A82612"/>
    <w:rsid w:val="00AC4DAB"/>
    <w:rsid w:val="00AC6C8E"/>
    <w:rsid w:val="00AD1C41"/>
    <w:rsid w:val="00B05636"/>
    <w:rsid w:val="00B06C54"/>
    <w:rsid w:val="00B25CDB"/>
    <w:rsid w:val="00B53E96"/>
    <w:rsid w:val="00B5491F"/>
    <w:rsid w:val="00B75C2F"/>
    <w:rsid w:val="00B85315"/>
    <w:rsid w:val="00B877D4"/>
    <w:rsid w:val="00B922D2"/>
    <w:rsid w:val="00B96A33"/>
    <w:rsid w:val="00BA005E"/>
    <w:rsid w:val="00BD2FE5"/>
    <w:rsid w:val="00BD679B"/>
    <w:rsid w:val="00BE2590"/>
    <w:rsid w:val="00BE42D1"/>
    <w:rsid w:val="00C13EAD"/>
    <w:rsid w:val="00C411C6"/>
    <w:rsid w:val="00C51A81"/>
    <w:rsid w:val="00C66BA3"/>
    <w:rsid w:val="00C84D03"/>
    <w:rsid w:val="00C976EF"/>
    <w:rsid w:val="00CB46BC"/>
    <w:rsid w:val="00CC73D3"/>
    <w:rsid w:val="00CD0671"/>
    <w:rsid w:val="00CD29FA"/>
    <w:rsid w:val="00CD50A8"/>
    <w:rsid w:val="00CE2830"/>
    <w:rsid w:val="00CE4A19"/>
    <w:rsid w:val="00CE4F57"/>
    <w:rsid w:val="00CE7539"/>
    <w:rsid w:val="00CF1B64"/>
    <w:rsid w:val="00CF7FA9"/>
    <w:rsid w:val="00D0412C"/>
    <w:rsid w:val="00D07726"/>
    <w:rsid w:val="00D101FB"/>
    <w:rsid w:val="00D14B2E"/>
    <w:rsid w:val="00D155B9"/>
    <w:rsid w:val="00D16DCA"/>
    <w:rsid w:val="00D30389"/>
    <w:rsid w:val="00D33232"/>
    <w:rsid w:val="00D333E0"/>
    <w:rsid w:val="00D447FD"/>
    <w:rsid w:val="00D640FB"/>
    <w:rsid w:val="00D67CB1"/>
    <w:rsid w:val="00D83850"/>
    <w:rsid w:val="00D939AB"/>
    <w:rsid w:val="00DA6166"/>
    <w:rsid w:val="00DD5411"/>
    <w:rsid w:val="00DE3687"/>
    <w:rsid w:val="00DE459E"/>
    <w:rsid w:val="00DE740E"/>
    <w:rsid w:val="00DF0192"/>
    <w:rsid w:val="00DF49B0"/>
    <w:rsid w:val="00DF7D5A"/>
    <w:rsid w:val="00E06177"/>
    <w:rsid w:val="00E31B68"/>
    <w:rsid w:val="00E444DD"/>
    <w:rsid w:val="00E53085"/>
    <w:rsid w:val="00E62012"/>
    <w:rsid w:val="00E65E95"/>
    <w:rsid w:val="00E77D28"/>
    <w:rsid w:val="00E94ED6"/>
    <w:rsid w:val="00EA57BC"/>
    <w:rsid w:val="00EB3BA7"/>
    <w:rsid w:val="00EC0EE1"/>
    <w:rsid w:val="00EC3AF3"/>
    <w:rsid w:val="00EC5596"/>
    <w:rsid w:val="00EE387E"/>
    <w:rsid w:val="00F1667F"/>
    <w:rsid w:val="00F174F7"/>
    <w:rsid w:val="00F36FDD"/>
    <w:rsid w:val="00F63D2C"/>
    <w:rsid w:val="00F63F17"/>
    <w:rsid w:val="00F747C6"/>
    <w:rsid w:val="00F82023"/>
    <w:rsid w:val="00F8278A"/>
    <w:rsid w:val="00F86998"/>
    <w:rsid w:val="00F93460"/>
    <w:rsid w:val="00FA102D"/>
    <w:rsid w:val="00FA2DB5"/>
    <w:rsid w:val="00FB52DE"/>
    <w:rsid w:val="00FD09F6"/>
    <w:rsid w:val="00FD49CE"/>
    <w:rsid w:val="00FE6660"/>
    <w:rsid w:val="00FF55D3"/>
    <w:rsid w:val="00FF729F"/>
    <w:rsid w:val="653F686F"/>
    <w:rsid w:val="6A541C5A"/>
    <w:rsid w:val="6CC04577"/>
    <w:rsid w:val="72246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fillcolor="white">
      <v:fill color="white"/>
    </o:shapedefaults>
    <o:shapelayout v:ext="edit">
      <o:idmap v:ext="edit" data="1"/>
    </o:shapelayout>
  </w:shapeDefaults>
  <w:decimalSymbol w:val="."/>
  <w:listSeparator w:val=","/>
  <w15:docId w15:val="{94E31E1F-2B69-4F29-BDF1-28193B1D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Date"/>
    <w:basedOn w:val="a"/>
    <w:next w:val="a"/>
    <w:qFormat/>
    <w:pPr>
      <w:ind w:leftChars="2500" w:left="100"/>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paragraph" w:styleId="aa">
    <w:name w:val="List Paragraph"/>
    <w:basedOn w:val="a"/>
    <w:uiPriority w:val="34"/>
    <w:qFormat/>
    <w:pPr>
      <w:ind w:firstLineChars="200" w:firstLine="420"/>
    </w:pPr>
    <w:rPr>
      <w:rFonts w:eastAsia="仿宋"/>
      <w:szCs w:val="22"/>
    </w:rPr>
  </w:style>
  <w:style w:type="character" w:customStyle="1" w:styleId="bjh-p">
    <w:name w:val="bjh-p"/>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34D56-E105-4147-A99B-861E0CA5D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982</Words>
  <Characters>5602</Characters>
  <Application>Microsoft Office Word</Application>
  <DocSecurity>0</DocSecurity>
  <Lines>46</Lines>
  <Paragraphs>13</Paragraphs>
  <ScaleCrop>false</ScaleCrop>
  <Company>seu</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000001（6位3号数字，顶格）</dc:title>
  <dc:creator>刘奕敏</dc:creator>
  <cp:lastModifiedBy>zhaichun</cp:lastModifiedBy>
  <cp:revision>3</cp:revision>
  <cp:lastPrinted>2013-06-20T03:02:00Z</cp:lastPrinted>
  <dcterms:created xsi:type="dcterms:W3CDTF">2019-09-24T02:29:00Z</dcterms:created>
  <dcterms:modified xsi:type="dcterms:W3CDTF">2019-10-24T02:03:00Z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